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Skates Spenser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AMPLITUDE,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THIRD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Amplitude, Inc.</w:t>
              </w:r>
            </w:hyperlink>
            <w:r>
              <w:rPr/>
              <w:t xml:space="preserve"> [ </w:t>
            </w:r>
            <w:r>
              <w:rPr>
                <w:rFonts w:ascii="Times;serif" w:hAnsi="Times;serif"/>
                <w:color w:val="0000FF"/>
                <w:sz w:val="24"/>
                <w:shd w:fill="FFFFFF" w:val="clear"/>
              </w:rPr>
              <w:t>AMPL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14.453</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14.45</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34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606"/>
        <w:gridCol w:w="906"/>
        <w:gridCol w:w="801"/>
        <w:gridCol w:w="891"/>
        <w:gridCol w:w="1101"/>
        <w:gridCol w:w="801"/>
        <w:gridCol w:w="96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380,783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377,244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5,342,146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5,342,146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B Common Stock is convertible at any time at the option of the holder into the Issuer's Class A Common Stock on a one-to-one basis. The Class B Common Stock will convert automatically into shares of the Issuer's Class A Common Stock on a one-to-one basis upon the earlier of (a) any transfer of the Class B Common Stock by the holder, whether or not for value, subject to certain exceptions, (b) the death or incapacity of Mr. Skates, (c) the date that is six months following the date on which Mr. Skates is no longer an employee or director of the Issuer (unless Mr. Skates has rejoined the Issuer during such six-month period) or (d) the date that is six months following the date on which none of the Issuer's founders is an employee or director of the Issuer (unless a founder has rejoined the Issuer during such six-month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were effected pursuant to a 10b5-1 trading plan adopted by the Reporting Person's spouse on June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$14.4500 to $14.4700.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Fisher, as attorney in fact for Spenser Skates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2913" TargetMode="External"/><Relationship Id="rId5" Type="http://schemas.openxmlformats.org/officeDocument/2006/relationships/hyperlink" Target="http://www.sec.gov/cgi-bin/browse-edgar?action=getcompany&amp;CIK=00018666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907</Words>
  <Characters>4641</Characters>
  <CharactersWithSpaces>5416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