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Liu Curtis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AMPLITUDE,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THIRD ST.,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Amplitude, Inc.</w:t>
              </w:r>
            </w:hyperlink>
            <w:r>
              <w:rPr/>
              <w:t xml:space="preserve"> [ </w:t>
            </w:r>
            <w:r>
              <w:rPr>
                <w:rFonts w:ascii="Times;serif" w:hAnsi="Times;serif"/>
                <w:color w:val="0000FF"/>
                <w:sz w:val="24"/>
                <w:shd w:fill="FFFFFF" w:val="clear"/>
              </w:rPr>
              <w:t>AMPL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Technology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1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816"/>
        <w:gridCol w:w="906"/>
        <w:gridCol w:w="801"/>
        <w:gridCol w:w="891"/>
        <w:gridCol w:w="921"/>
        <w:gridCol w:w="801"/>
        <w:gridCol w:w="966"/>
        <w:gridCol w:w="831"/>
        <w:gridCol w:w="846"/>
      </w:tblGrid>
      <w:tr>
        <w:trPr>
          <w:tblHeader w:val="true"/>
        </w:trPr>
        <w:tc>
          <w:tcPr>
            <w:tcW w:w="129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7,207,208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(3)</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B Common Stock is convertible at any time at the option of the holder into the Issuer's Class A Common Stock on a one-to-one basis. The Class B Common Stock will convert automatically into shares of the Issuer's Class A Common Stock on a one-to-one basis upon the earlier of (a) any transfer of the Class B Common Stock by the holder, whether or not for value, subject to certain exceptions, (b) the death or incapacity of the reporting person, (c) the date that is six months following the date on which the reporting person is no longer an employee or director of the Issuer (unless such reporting person has rejoined the Issuer during such six-month period) or (d) the date that is six months following the date on which none of the Issuer's founders is an employee or director of the Issuer (unless a founder has rejoined the Issuer during such six-month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involved a gift of securities by the trust to the reporting person's spouse. This is not a market transaction, thus no price has been reported. No value was received for the gifted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held by a trust over which the reporting person exercises voting and dispositive control.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Fisher, as attorney in fact for Curtis Liu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022" TargetMode="External"/><Relationship Id="rId5" Type="http://schemas.openxmlformats.org/officeDocument/2006/relationships/hyperlink" Target="http://www.sec.gov/cgi-bin/browse-edgar?action=getcompany&amp;CIK=00018666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810</Words>
  <Characters>4220</Characters>
  <CharactersWithSpaces>4957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