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Casey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AMPLITUDE,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Amplitude,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AMPL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920"/>
        <w:gridCol w:w="443"/>
        <w:gridCol w:w="748"/>
        <w:gridCol w:w="1308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72,814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13.03</w:t>
            </w:r>
          </w:p>
        </w:tc>
        <w:tc>
          <w:tcPr>
            <w:tcW w:w="13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1,363,338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withheld by the Issuer solely to satisfy tax withholding obligations in connection with the net issuance of shares of the Issuer's Class A Common Stock delivered to the reporting person on August 15, 2026, from the vesting of restricted stock units ("RSUs"), and does not represent a sale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814,949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Fisher, as attorney in fact for Andrew Casey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390" TargetMode="External"/><Relationship Id="rId5" Type="http://schemas.openxmlformats.org/officeDocument/2006/relationships/hyperlink" Target="http://www.sec.gov/cgi-bin/browse-edgar?action=getcompany&amp;CIK=00018666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3431</Characters>
  <CharactersWithSpaces>3998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