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Amplitude,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001-40817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45-3937349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Third Street,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Francisco, California 94103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(415) 231-2353</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49"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00"/>
              <w:spacing w:after="0" w:line="191" w:lineRule="exact"/>
              <w:rPr>
                <w:sz w:val="20"/>
                <w:szCs w:val="20"/>
                <w:color w:val="auto"/>
              </w:rPr>
            </w:pPr>
            <w:r>
              <w:rPr>
                <w:rFonts w:ascii="Times New Roman" w:cs="Times New Roman" w:eastAsia="Times New Roman" w:hAnsi="Times New Roman"/>
                <w:sz w:val="18"/>
                <w:szCs w:val="18"/>
                <w:color w:val="auto"/>
              </w:rPr>
              <w:t>AMPL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60" w:firstLine="991"/>
        <w:spacing w:after="0" w:line="281" w:lineRule="auto"/>
        <w:rPr>
          <w:sz w:val="20"/>
          <w:szCs w:val="20"/>
          <w:color w:val="auto"/>
        </w:rPr>
      </w:pPr>
      <w:r>
        <w:rPr>
          <w:rFonts w:ascii="Times New Roman" w:cs="Times New Roman" w:eastAsia="Times New Roman" w:hAnsi="Times New Roman"/>
          <w:sz w:val="17"/>
          <w:szCs w:val="17"/>
          <w:color w:val="auto"/>
        </w:rPr>
        <w:t>On June 9, 2026, Amplitude, Inc. (the “Company”) held its 2026 annual meeting of stockholders (the “Annual Meeting”). At the Annual Meeting, the Company’s stockholders (i) elected each of the Company’s nominees as Class II directors, (ii) ratified the appointment of KPMG LLP as the Company’s independent registered public accounting firm for the fiscal year ending December 31, 2026, and (iii) approved, on an advisory (non-binding) basis, the compensation of the Company’s named executive officers. The final results with respect to each proposal are set forth below.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One – Election of Directors</w:t>
      </w:r>
    </w:p>
    <w:p>
      <w:pPr>
        <w:spacing w:after="0" w:line="121"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three persons named below as a Class II director to serve until the Company’s 2029 annual meeting of stockholders, and until each such director’s respective successor is elected and qualified. The results of such vote were:</w:t>
      </w:r>
    </w:p>
    <w:p>
      <w:pPr>
        <w:spacing w:after="0" w:line="17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Votes</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Pat Grady</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160,262,713</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15,742,726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14,202,984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Curtis Liu</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162,616,013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13,389,426</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14,202,984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Catherine Wong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164,902,426</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11,103,013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14,202,984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Two – Ratification of Appointment of Independent Registered Public Accounting Firm</w:t>
      </w:r>
    </w:p>
    <w:p>
      <w:pPr>
        <w:spacing w:after="0" w:line="121"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KPMG LLP as the Company’s independent registered public accounting firm for the fiscal year ending December 31, 2026. The results of such vote were:</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190,036,610</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117,267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54,546</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Three – Approval, on an Advisory (Non-Binding) Basis, of the Compensation of the Company’s Named Executive Officers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Company’s stockholders approved, on an advisory (non-binding) basis, the compensation of the Company’s named executive officers.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such vote were:</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220" w:type="dxa"/>
            <w:vAlign w:val="bottom"/>
            <w:tcBorders>
              <w:top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172,928,572</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1,934,698</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1,142,169</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14,202,984</w:t>
            </w:r>
          </w:p>
        </w:tc>
      </w:tr>
    </w:tbl>
    <w:p>
      <w:pPr>
        <w:sectPr>
          <w:pgSz w:w="11900" w:h="16838" w:orient="portrait"/>
          <w:cols w:equalWidth="0" w:num="1">
            <w:col w:w="10980"/>
          </w:cols>
          <w:pgMar w:left="440"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AMPLITUDE,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ind w:left="6060"/>
        <w:spacing w:after="0"/>
        <w:rPr>
          <w:sz w:val="20"/>
          <w:szCs w:val="20"/>
          <w:color w:val="auto"/>
        </w:rPr>
      </w:pPr>
      <w:r>
        <w:rPr>
          <w:rFonts w:ascii="Times New Roman" w:cs="Times New Roman" w:eastAsia="Times New Roman" w:hAnsi="Times New Roman"/>
          <w:sz w:val="18"/>
          <w:szCs w:val="18"/>
          <w:color w:val="auto"/>
        </w:rPr>
        <w:t>Andrew Casey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2026-06-10T15:20:20Z</dcterms:created>
  <dcterms:modified xsi:type="dcterms:W3CDTF">2026-06-10T15:20:20Z</dcterms:modified>
</cp:coreProperties>
</file>