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Liu Curtis</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AMPLITUDE,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201 THIRD STREET, 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Amplitude,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AMPL</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4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06/01/2026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685"/>
        <w:spacing w:after="0"/>
        <w:rPr>
          <w:sz w:val="20"/>
          <w:szCs w:val="20"/>
          <w:color w:val="auto"/>
        </w:rPr>
      </w:pPr>
      <w:r>
        <w:rPr>
          <w:rFonts w:ascii="Times New Roman" w:cs="Times New Roman" w:eastAsia="Times New Roman" w:hAnsi="Times New Roman"/>
          <w:sz w:val="17"/>
          <w:szCs w:val="17"/>
          <w:color w:val="0000FF"/>
        </w:rPr>
        <w:t>Chief Technology Officer</w:t>
      </w:r>
    </w:p>
    <w:p>
      <w:pPr>
        <w:spacing w:after="0" w:line="46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560" w:type="dxa"/>
            <w:vAlign w:val="bottom"/>
            <w:tcBorders>
              <w:bottom w:val="single" w:sz="8" w:color="9A9A9A"/>
            </w:tcBorders>
          </w:tcPr>
          <w:p>
            <w:pPr>
              <w:spacing w:after="0"/>
              <w:rPr>
                <w:sz w:val="4"/>
                <w:szCs w:val="4"/>
                <w:color w:val="auto"/>
              </w:rPr>
            </w:pPr>
          </w:p>
        </w:tc>
        <w:tc>
          <w:tcPr>
            <w:tcW w:w="300" w:type="dxa"/>
            <w:vAlign w:val="bottom"/>
            <w:tcBorders>
              <w:bottom w:val="single" w:sz="8" w:color="9A9A9A"/>
            </w:tcBorders>
          </w:tcPr>
          <w:p>
            <w:pPr>
              <w:spacing w:after="0"/>
              <w:rPr>
                <w:sz w:val="4"/>
                <w:szCs w:val="4"/>
                <w:color w:val="auto"/>
              </w:rPr>
            </w:pPr>
          </w:p>
        </w:tc>
        <w:tc>
          <w:tcPr>
            <w:tcW w:w="820" w:type="dxa"/>
            <w:vAlign w:val="bottom"/>
            <w:tcBorders>
              <w:bottom w:val="single" w:sz="8" w:color="9A9A9A"/>
            </w:tcBorders>
          </w:tcPr>
          <w:p>
            <w:pPr>
              <w:spacing w:after="0"/>
              <w:rPr>
                <w:sz w:val="4"/>
                <w:szCs w:val="4"/>
                <w:color w:val="auto"/>
              </w:rPr>
            </w:pPr>
          </w:p>
        </w:tc>
        <w:tc>
          <w:tcPr>
            <w:tcW w:w="1340" w:type="dxa"/>
            <w:vAlign w:val="bottom"/>
            <w:tcBorders>
              <w:bottom w:val="single" w:sz="8" w:color="9A9A9A"/>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480" w:type="dxa"/>
            <w:vAlign w:val="bottom"/>
            <w:tcBorders>
              <w:top w:val="single" w:sz="8" w:color="2C2C2C"/>
              <w:bottom w:val="single" w:sz="8" w:color="2C2C2C"/>
            </w:tcBorders>
            <w:gridSpan w:val="7"/>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640" w:type="dxa"/>
            <w:vAlign w:val="bottom"/>
            <w:tcBorders>
              <w:top w:val="single" w:sz="8" w:color="2C2C2C"/>
              <w:bottom w:val="single" w:sz="8" w:color="2C2C2C"/>
            </w:tcBorders>
            <w:gridSpan w:val="7"/>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120" w:type="dxa"/>
            <w:vAlign w:val="bottom"/>
            <w:gridSpan w:val="2"/>
            <w:vMerge w:val="restart"/>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EEEEEE"/>
          </w:tcPr>
          <w:p>
            <w:pPr>
              <w:spacing w:after="0" w:line="20" w:lineRule="exact"/>
              <w:rPr>
                <w:sz w:val="1"/>
                <w:szCs w:val="1"/>
                <w:color w:val="auto"/>
              </w:rPr>
            </w:pPr>
          </w:p>
        </w:tc>
        <w:tc>
          <w:tcPr>
            <w:tcW w:w="560" w:type="dxa"/>
            <w:vAlign w:val="bottom"/>
            <w:shd w:val="clear" w:color="auto" w:fill="EEEEEE"/>
          </w:tcPr>
          <w:p>
            <w:pPr>
              <w:spacing w:after="0" w:line="20" w:lineRule="exact"/>
              <w:rPr>
                <w:sz w:val="1"/>
                <w:szCs w:val="1"/>
                <w:color w:val="auto"/>
              </w:rPr>
            </w:pPr>
          </w:p>
        </w:tc>
        <w:tc>
          <w:tcPr>
            <w:tcW w:w="300" w:type="dxa"/>
            <w:vAlign w:val="bottom"/>
            <w:shd w:val="clear" w:color="auto" w:fill="EEEEEE"/>
          </w:tcPr>
          <w:p>
            <w:pPr>
              <w:spacing w:after="0" w:line="20" w:lineRule="exact"/>
              <w:rPr>
                <w:sz w:val="1"/>
                <w:szCs w:val="1"/>
                <w:color w:val="auto"/>
              </w:rPr>
            </w:pPr>
          </w:p>
        </w:tc>
        <w:tc>
          <w:tcPr>
            <w:tcW w:w="820" w:type="dxa"/>
            <w:vAlign w:val="bottom"/>
            <w:shd w:val="clear" w:color="auto" w:fill="EEEEEE"/>
          </w:tcPr>
          <w:p>
            <w:pPr>
              <w:spacing w:after="0" w:line="20" w:lineRule="exact"/>
              <w:rPr>
                <w:sz w:val="1"/>
                <w:szCs w:val="1"/>
                <w:color w:val="auto"/>
              </w:rPr>
            </w:pPr>
          </w:p>
        </w:tc>
        <w:tc>
          <w:tcPr>
            <w:tcW w:w="1340" w:type="dxa"/>
            <w:vAlign w:val="bottom"/>
            <w:shd w:val="clear" w:color="auto" w:fill="EEEE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80" w:type="dxa"/>
            <w:vAlign w:val="bottom"/>
            <w:gridSpan w:val="7"/>
            <w:vMerge w:val="continue"/>
          </w:tcPr>
          <w:p>
            <w:pPr>
              <w:spacing w:after="0" w:line="20" w:lineRule="exact"/>
              <w:rPr>
                <w:sz w:val="1"/>
                <w:szCs w:val="1"/>
                <w:color w:val="auto"/>
              </w:rPr>
            </w:pPr>
          </w:p>
        </w:tc>
        <w:tc>
          <w:tcPr>
            <w:tcW w:w="3640" w:type="dxa"/>
            <w:vAlign w:val="bottom"/>
            <w:gridSpan w:val="7"/>
            <w:vMerge w:val="continue"/>
          </w:tcPr>
          <w:p>
            <w:pPr>
              <w:spacing w:after="0" w:line="20" w:lineRule="exact"/>
              <w:rPr>
                <w:sz w:val="1"/>
                <w:szCs w:val="1"/>
                <w:color w:val="auto"/>
              </w:rPr>
            </w:pPr>
          </w:p>
        </w:tc>
        <w:tc>
          <w:tcPr>
            <w:tcW w:w="12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80" w:type="dxa"/>
            <w:vAlign w:val="bottom"/>
            <w:gridSpan w:val="7"/>
            <w:vMerge w:val="continue"/>
          </w:tcPr>
          <w:p>
            <w:pPr>
              <w:spacing w:after="0"/>
              <w:rPr>
                <w:sz w:val="10"/>
                <w:szCs w:val="10"/>
                <w:color w:val="auto"/>
              </w:rPr>
            </w:pPr>
          </w:p>
        </w:tc>
        <w:tc>
          <w:tcPr>
            <w:tcW w:w="3640" w:type="dxa"/>
            <w:vAlign w:val="bottom"/>
            <w:gridSpan w:val="7"/>
            <w:vMerge w:val="continue"/>
          </w:tcPr>
          <w:p>
            <w:pPr>
              <w:spacing w:after="0"/>
              <w:rPr>
                <w:sz w:val="10"/>
                <w:szCs w:val="10"/>
                <w:color w:val="auto"/>
              </w:rPr>
            </w:pPr>
          </w:p>
        </w:tc>
        <w:tc>
          <w:tcPr>
            <w:tcW w:w="1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32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06/03/2026</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60" w:type="dxa"/>
            <w:vAlign w:val="bottom"/>
            <w:gridSpan w:val="4"/>
            <w:vMerge w:val="restart"/>
          </w:tcPr>
          <w:p>
            <w:pPr>
              <w:ind w:left="420"/>
              <w:spacing w:after="0"/>
              <w:rPr>
                <w:sz w:val="20"/>
                <w:szCs w:val="20"/>
                <w:color w:val="auto"/>
              </w:rPr>
            </w:pPr>
            <w:r>
              <w:rPr>
                <w:rFonts w:ascii="Arial" w:cs="Arial" w:eastAsia="Arial" w:hAnsi="Arial"/>
                <w:sz w:val="13"/>
                <w:szCs w:val="13"/>
                <w:color w:val="auto"/>
              </w:rPr>
              <w:t>Line)</w:t>
            </w:r>
          </w:p>
        </w:tc>
        <w:tc>
          <w:tcPr>
            <w:tcW w:w="7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SAN</w:t>
            </w: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132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9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60" w:type="dxa"/>
            <w:vAlign w:val="bottom"/>
            <w:gridSpan w:val="4"/>
            <w:vMerge w:val="continue"/>
          </w:tcPr>
          <w:p>
            <w:pPr>
              <w:spacing w:after="0"/>
              <w:rPr>
                <w:sz w:val="7"/>
                <w:szCs w:val="7"/>
                <w:color w:val="auto"/>
              </w:rPr>
            </w:pPr>
          </w:p>
        </w:tc>
        <w:tc>
          <w:tcPr>
            <w:tcW w:w="760" w:type="dxa"/>
            <w:vAlign w:val="bottom"/>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94103</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920" w:type="dxa"/>
            <w:vAlign w:val="bottom"/>
            <w:gridSpan w:val="6"/>
            <w:vMerge w:val="restart"/>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300" w:type="dxa"/>
            <w:vAlign w:val="bottom"/>
            <w:vMerge w:val="continue"/>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9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92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920" w:type="dxa"/>
            <w:vAlign w:val="bottom"/>
            <w:gridSpan w:val="6"/>
          </w:tcPr>
          <w:p>
            <w:pPr>
              <w:ind w:left="100"/>
              <w:spacing w:after="0" w:line="147"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tcPr>
          <w:p>
            <w:pPr>
              <w:ind w:left="100"/>
              <w:spacing w:after="0" w:line="113" w:lineRule="exact"/>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7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380" w:type="dxa"/>
            <w:vAlign w:val="bottom"/>
            <w:tcBorders>
              <w:bottom w:val="single" w:sz="8" w:color="2C2C2C"/>
            </w:tcBorders>
            <w:gridSpan w:val="3"/>
          </w:tcPr>
          <w:p>
            <w:pPr>
              <w:spacing w:after="0"/>
              <w:rPr>
                <w:sz w:val="10"/>
                <w:szCs w:val="10"/>
                <w:color w:val="auto"/>
              </w:rPr>
            </w:pPr>
          </w:p>
        </w:tc>
        <w:tc>
          <w:tcPr>
            <w:tcW w:w="2700" w:type="dxa"/>
            <w:vAlign w:val="bottom"/>
            <w:tcBorders>
              <w:bottom w:val="single" w:sz="8" w:color="2C2C2C"/>
            </w:tcBorders>
            <w:gridSpan w:val="6"/>
          </w:tcPr>
          <w:p>
            <w:pPr>
              <w:spacing w:after="0"/>
              <w:rPr>
                <w:sz w:val="10"/>
                <w:szCs w:val="10"/>
                <w:color w:val="auto"/>
              </w:rPr>
            </w:pPr>
          </w:p>
        </w:tc>
        <w:tc>
          <w:tcPr>
            <w:tcW w:w="300" w:type="dxa"/>
            <w:vAlign w:val="bottom"/>
            <w:tcBorders>
              <w:bottom w:val="single" w:sz="8" w:color="2C2C2C"/>
            </w:tcBorders>
            <w:gridSpan w:val="2"/>
          </w:tcPr>
          <w:p>
            <w:pPr>
              <w:spacing w:after="0"/>
              <w:rPr>
                <w:sz w:val="10"/>
                <w:szCs w:val="10"/>
                <w:color w:val="auto"/>
              </w:rPr>
            </w:pPr>
          </w:p>
        </w:tc>
        <w:tc>
          <w:tcPr>
            <w:tcW w:w="1180" w:type="dxa"/>
            <w:vAlign w:val="bottom"/>
            <w:tcBorders>
              <w:bottom w:val="single" w:sz="8" w:color="2C2C2C"/>
            </w:tcBorders>
            <w:gridSpan w:val="2"/>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6"/>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580"/>
              <w:spacing w:after="0"/>
              <w:rPr>
                <w:sz w:val="20"/>
                <w:szCs w:val="20"/>
                <w:color w:val="auto"/>
              </w:rPr>
            </w:pPr>
            <w:r>
              <w:rPr>
                <w:rFonts w:ascii="Arial" w:cs="Arial" w:eastAsia="Arial" w:hAnsi="Arial"/>
                <w:sz w:val="12"/>
                <w:szCs w:val="12"/>
                <w:b w:val="1"/>
                <w:bCs w:val="1"/>
                <w:color w:val="auto"/>
              </w:rPr>
              <w:t>2. Transaction</w:t>
            </w:r>
          </w:p>
        </w:tc>
        <w:tc>
          <w:tcPr>
            <w:tcW w:w="1380" w:type="dxa"/>
            <w:vAlign w:val="bottom"/>
            <w:gridSpan w:val="3"/>
          </w:tcPr>
          <w:p>
            <w:pPr>
              <w:ind w:left="28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ind w:left="20"/>
              <w:spacing w:after="0"/>
              <w:rPr>
                <w:sz w:val="20"/>
                <w:szCs w:val="20"/>
                <w:color w:val="auto"/>
              </w:rPr>
            </w:pPr>
            <w:r>
              <w:rPr>
                <w:rFonts w:ascii="Arial" w:cs="Arial" w:eastAsia="Arial" w:hAnsi="Arial"/>
                <w:sz w:val="12"/>
                <w:szCs w:val="12"/>
                <w:b w:val="1"/>
                <w:bCs w:val="1"/>
                <w:color w:val="auto"/>
                <w:w w:val="79"/>
              </w:rPr>
              <w:t>3.</w:t>
            </w:r>
          </w:p>
        </w:tc>
        <w:tc>
          <w:tcPr>
            <w:tcW w:w="620" w:type="dxa"/>
            <w:vAlign w:val="bottom"/>
          </w:tcPr>
          <w:p>
            <w:pPr>
              <w:spacing w:after="0"/>
              <w:rPr>
                <w:sz w:val="15"/>
                <w:szCs w:val="15"/>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1380" w:type="dxa"/>
            <w:vAlign w:val="bottom"/>
            <w:gridSpan w:val="3"/>
          </w:tcPr>
          <w:p>
            <w:pPr>
              <w:ind w:left="28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180" w:type="dxa"/>
            <w:vAlign w:val="bottom"/>
            <w:gridSpan w:val="4"/>
          </w:tcPr>
          <w:p>
            <w:pPr>
              <w:ind w:left="5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9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80" w:type="dxa"/>
            <w:vAlign w:val="bottom"/>
            <w:gridSpan w:val="3"/>
          </w:tcPr>
          <w:p>
            <w:pPr>
              <w:ind w:left="28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74"/>
              </w:rPr>
              <w:t>8)</w:t>
            </w: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900" w:type="dxa"/>
            <w:vAlign w:val="bottom"/>
          </w:tcPr>
          <w:p>
            <w:pPr>
              <w:spacing w:after="0"/>
              <w:rPr>
                <w:sz w:val="3"/>
                <w:szCs w:val="3"/>
                <w:color w:val="auto"/>
              </w:rPr>
            </w:pPr>
          </w:p>
        </w:tc>
        <w:tc>
          <w:tcPr>
            <w:tcW w:w="4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9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4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9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1480" w:type="dxa"/>
            <w:vAlign w:val="bottom"/>
            <w:tcBorders>
              <w:bottom w:val="single" w:sz="8" w:color="2C2C2C"/>
            </w:tcBorders>
            <w:gridSpan w:val="4"/>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80" w:type="dxa"/>
            <w:vAlign w:val="bottom"/>
            <w:tcBorders>
              <w:bottom w:val="single" w:sz="8" w:color="2C2C2C"/>
            </w:tcBorders>
            <w:gridSpan w:val="4"/>
          </w:tcPr>
          <w:p>
            <w:pPr>
              <w:ind w:left="680"/>
              <w:spacing w:after="0"/>
              <w:rPr>
                <w:sz w:val="20"/>
                <w:szCs w:val="20"/>
                <w:color w:val="auto"/>
              </w:rPr>
            </w:pPr>
            <w:r>
              <w:rPr>
                <w:rFonts w:ascii="Times New Roman" w:cs="Times New Roman" w:eastAsia="Times New Roman" w:hAnsi="Times New Roman"/>
                <w:sz w:val="17"/>
                <w:szCs w:val="17"/>
                <w:color w:val="0000FF"/>
              </w:rPr>
              <w:t>06/01/2026</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3"/>
                <w:szCs w:val="13"/>
                <w:color w:val="0000FF"/>
              </w:rPr>
              <w:t>S</w:t>
            </w:r>
          </w:p>
        </w:tc>
        <w:tc>
          <w:tcPr>
            <w:tcW w:w="9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8"/>
              </w:rPr>
              <w:t>22,786</w:t>
            </w:r>
            <w:r>
              <w:rPr>
                <w:rFonts w:ascii="Times New Roman" w:cs="Times New Roman" w:eastAsia="Times New Roman" w:hAnsi="Times New Roman"/>
                <w:sz w:val="22"/>
                <w:szCs w:val="22"/>
                <w:color w:val="008000"/>
                <w:w w:val="98"/>
                <w:vertAlign w:val="superscript"/>
              </w:rPr>
              <w:t>(1)(2)</w:t>
            </w:r>
          </w:p>
        </w:tc>
        <w:tc>
          <w:tcPr>
            <w:tcW w:w="2480" w:type="dxa"/>
            <w:vAlign w:val="bottom"/>
            <w:tcBorders>
              <w:bottom w:val="single" w:sz="8" w:color="2C2C2C"/>
            </w:tcBorders>
            <w:gridSpan w:val="6"/>
          </w:tcPr>
          <w:p>
            <w:pPr>
              <w:ind w:left="160"/>
              <w:spacing w:after="0"/>
              <w:rPr>
                <w:sz w:val="20"/>
                <w:szCs w:val="20"/>
                <w:color w:val="auto"/>
              </w:rPr>
            </w:pPr>
            <w:r>
              <w:rPr>
                <w:rFonts w:ascii="Times New Roman" w:cs="Times New Roman" w:eastAsia="Times New Roman" w:hAnsi="Times New Roman"/>
                <w:sz w:val="17"/>
                <w:szCs w:val="17"/>
                <w:color w:val="0000FF"/>
              </w:rPr>
              <w:t xml:space="preserve">D   </w:t>
            </w:r>
            <w:r>
              <w:rPr>
                <w:rFonts w:ascii="Arial" w:cs="Arial" w:eastAsia="Arial" w:hAnsi="Arial"/>
                <w:sz w:val="17"/>
                <w:szCs w:val="17"/>
                <w:color w:val="000000"/>
              </w:rPr>
              <w:t>$</w:t>
            </w:r>
            <w:r>
              <w:rPr>
                <w:rFonts w:ascii="Times New Roman" w:cs="Times New Roman" w:eastAsia="Times New Roman" w:hAnsi="Times New Roman"/>
                <w:sz w:val="17"/>
                <w:szCs w:val="17"/>
                <w:color w:val="0000FF"/>
              </w:rPr>
              <w:t>8.0259</w:t>
            </w:r>
            <w:r>
              <w:rPr>
                <w:rFonts w:ascii="Times New Roman" w:cs="Times New Roman" w:eastAsia="Times New Roman" w:hAnsi="Times New Roman"/>
                <w:sz w:val="22"/>
                <w:szCs w:val="22"/>
                <w:color w:val="008000"/>
                <w:vertAlign w:val="superscript"/>
              </w:rPr>
              <w:t>(3)</w:t>
            </w:r>
            <w:r>
              <w:rPr>
                <w:rFonts w:ascii="Times New Roman" w:cs="Times New Roman" w:eastAsia="Times New Roman" w:hAnsi="Times New Roman"/>
                <w:sz w:val="17"/>
                <w:szCs w:val="17"/>
                <w:color w:val="0000FF"/>
              </w:rPr>
              <w:t xml:space="preserve">    1,004,194</w:t>
            </w:r>
            <w:r>
              <w:rPr>
                <w:rFonts w:ascii="Times New Roman" w:cs="Times New Roman" w:eastAsia="Times New Roman" w:hAnsi="Times New Roman"/>
                <w:sz w:val="22"/>
                <w:szCs w:val="22"/>
                <w:color w:val="008000"/>
                <w:vertAlign w:val="superscript"/>
              </w:rPr>
              <w:t>(4)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5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900" w:type="dxa"/>
            <w:vAlign w:val="bottom"/>
          </w:tcPr>
          <w:p>
            <w:pPr>
              <w:ind w:left="26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20" w:type="dxa"/>
            <w:vAlign w:val="bottom"/>
          </w:tcPr>
          <w:p>
            <w:pPr>
              <w:spacing w:after="0"/>
              <w:rPr>
                <w:sz w:val="14"/>
                <w:szCs w:val="14"/>
                <w:color w:val="auto"/>
              </w:rPr>
            </w:pPr>
          </w:p>
        </w:tc>
        <w:tc>
          <w:tcPr>
            <w:tcW w:w="152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were effected pursuant to a 10b5-1 trading plan adopted by the Reporting Person on November 26, 2025.</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Form 4/A is being filed solely to correct the number of shares reported as sold on June 1, 2026 and the total number of shares owned following the transaction. Due to a broker administrative error,</w:t>
      </w:r>
    </w:p>
    <w:p>
      <w:pPr>
        <w:spacing w:after="0" w:line="11" w:lineRule="exact"/>
        <w:rPr>
          <w:rFonts w:ascii="Times New Roman" w:cs="Times New Roman" w:eastAsia="Times New Roman" w:hAnsi="Times New Roman"/>
          <w:sz w:val="13"/>
          <w:szCs w:val="13"/>
          <w:color w:val="008000"/>
        </w:rPr>
      </w:pPr>
    </w:p>
    <w:p>
      <w:pPr>
        <w:jc w:val="both"/>
        <w:ind w:left="40" w:right="560" w:firstLine="7"/>
        <w:spacing w:after="0" w:line="242" w:lineRule="auto"/>
        <w:tabs>
          <w:tab w:leader="none" w:pos="27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fewer shares were sold than were required pursuant to the Reporting Person's Rule 10b5-1 trading plan. The error was corrected through the broker's error account, with the broker crediting the Reporting Person for the additional 585 shares at the applicable June 1, 2026 sale price and absorbing the cost of the correction. No additional open-market sale was effected in connection with the correction.</w:t>
      </w:r>
    </w:p>
    <w:p>
      <w:pPr>
        <w:spacing w:after="0" w:line="26"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4"/>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$8.0000 to $8.0600. The price reported in Column 4 above reflects the weighted average sale price. The Reporting Person hereby undertakes to provide to the Securities and Exchange Commission staff, the Issuer, or a security holder of the Issuer, upon request, full information regarding the number of shares sold at each respective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4"/>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880,520 restricted stock units.</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Elizabeth Fisher, as</w:t>
            </w:r>
          </w:p>
        </w:tc>
        <w:tc>
          <w:tcPr>
            <w:tcW w:w="560" w:type="dxa"/>
            <w:vAlign w:val="bottom"/>
            <w:gridSpan w:val="2"/>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06/16/2026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2"/>
        </w:trPr>
        <w:tc>
          <w:tcPr>
            <w:tcW w:w="2060" w:type="dxa"/>
            <w:vAlign w:val="bottom"/>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 in fact for Curtis Liu</w:t>
            </w:r>
          </w:p>
        </w:tc>
        <w:tc>
          <w:tcPr>
            <w:tcW w:w="80" w:type="dxa"/>
            <w:vAlign w:val="bottom"/>
            <w:vMerge w:val="restart"/>
          </w:tcPr>
          <w:p>
            <w:pPr>
              <w:spacing w:after="0"/>
              <w:rPr>
                <w:sz w:val="7"/>
                <w:szCs w:val="7"/>
                <w:color w:val="auto"/>
              </w:rPr>
            </w:pPr>
          </w:p>
        </w:tc>
        <w:tc>
          <w:tcPr>
            <w:tcW w:w="60" w:type="dxa"/>
            <w:vAlign w:val="bottom"/>
            <w:vMerge w:val="restart"/>
          </w:tcPr>
          <w:p>
            <w:pPr>
              <w:spacing w:after="0"/>
              <w:rPr>
                <w:sz w:val="7"/>
                <w:szCs w:val="7"/>
                <w:color w:val="auto"/>
              </w:rPr>
            </w:pPr>
          </w:p>
        </w:tc>
        <w:tc>
          <w:tcPr>
            <w:tcW w:w="800" w:type="dxa"/>
            <w:vAlign w:val="bottom"/>
            <w:tcBorders>
              <w:bottom w:val="single" w:sz="8" w:color="auto"/>
            </w:tcBorders>
            <w:vMerge w:val="continue"/>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2060" w:type="dxa"/>
            <w:vAlign w:val="bottom"/>
            <w:tcBorders>
              <w:bottom w:val="single" w:sz="8" w:color="auto"/>
            </w:tcBorders>
            <w:gridSpan w:val="2"/>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6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3"/>
          </w:tcPr>
          <w:p>
            <w:pPr>
              <w:ind w:left="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5"/>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5"/>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1"/>
      <w:numFmt w:val="decimal"/>
      <w:start w:val="585"/>
    </w:lvl>
  </w:abstractNum>
  <w:abstractNum w:abstractNumId="3">
    <w:nsid w:val="238E1F29"/>
    <w:multiLevelType w:val="hybridMultilevel"/>
    <w:lvl w:ilvl="0">
      <w:lvlJc w:val="left"/>
      <w:lvlText w:val="%1."/>
      <w:numFmt w:val="decimal"/>
      <w:start w:val="3"/>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3" Type="http://schemas.openxmlformats.org/officeDocument/2006/relationships/hyperlink" Target="http://www.sec.gov/cgi-bin/browse-edgar?action=getcompany&amp;CIK=0001883022" TargetMode="External"/><Relationship Id="rId14" Type="http://schemas.openxmlformats.org/officeDocument/2006/relationships/hyperlink" Target="http://www.sec.gov/cgi-bin/browse-edgar?action=getcompany&amp;CIK=000186669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2026-06-16T16:16:17Z</dcterms:created>
  <dcterms:modified xsi:type="dcterms:W3CDTF">2026-06-16T16:16:17Z</dcterms:modified>
</cp:coreProperties>
</file>