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470535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484505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54610</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66040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jc w:val="center"/>
        <w:ind w:left="2940" w:right="759" w:hanging="2292"/>
        <w:spacing w:after="0" w:line="356" w:lineRule="auto"/>
        <w:tabs>
          <w:tab w:leader="none" w:pos="962"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2026</w:t>
      </w:r>
    </w:p>
    <w:p>
      <w:pPr>
        <w:spacing w:after="0" w:line="197"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5" w:lineRule="exact"/>
        <w:rPr>
          <w:sz w:val="24"/>
          <w:szCs w:val="24"/>
          <w:color w:val="auto"/>
        </w:rPr>
      </w:pPr>
    </w:p>
    <w:p>
      <w:pPr>
        <w:ind w:left="3380"/>
        <w:spacing w:after="0"/>
        <w:tabs>
          <w:tab w:leader="none" w:pos="5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Commission File Number: 001-40817</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-228600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60325</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34" w:lineRule="exact"/>
        <w:rPr>
          <w:sz w:val="24"/>
          <w:szCs w:val="24"/>
          <w:color w:val="auto"/>
        </w:rPr>
      </w:pPr>
    </w:p>
    <w:tbl>
      <w:tblPr>
        <w:tblLayout w:type="fixed"/>
        <w:tblInd w:w="1740" w:type="dxa"/>
        <w:tblCellMar>
          <w:top w:w="0" w:type="dxa"/>
          <w:left w:w="0" w:type="dxa"/>
          <w:bottom w:w="0" w:type="dxa"/>
          <w:right w:w="0" w:type="dxa"/>
        </w:tblCellMar>
      </w:tblPr>
      <w:tr>
        <w:trPr>
          <w:trHeight w:val="173"/>
        </w:trPr>
        <w:tc>
          <w:tcPr>
            <w:tcW w:w="2980" w:type="dxa"/>
            <w:vAlign w:val="bottom"/>
          </w:tcPr>
          <w:p>
            <w:pPr>
              <w:jc w:val="center"/>
              <w:ind w:right="125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45-3937349</w:t>
            </w:r>
          </w:p>
        </w:tc>
      </w:tr>
      <w:tr>
        <w:trPr>
          <w:trHeight w:val="107"/>
        </w:trPr>
        <w:tc>
          <w:tcPr>
            <w:tcW w:w="2980" w:type="dxa"/>
            <w:vAlign w:val="bottom"/>
          </w:tcPr>
          <w:p>
            <w:pPr>
              <w:jc w:val="center"/>
              <w:ind w:right="1259"/>
              <w:spacing w:after="0" w:line="108"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100" w:type="dxa"/>
            <w:vAlign w:val="bottom"/>
          </w:tcPr>
          <w:p>
            <w:pPr>
              <w:jc w:val="center"/>
              <w:ind w:left="1281"/>
              <w:spacing w:after="0" w:line="108"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06"/>
        </w:trPr>
        <w:tc>
          <w:tcPr>
            <w:tcW w:w="2980" w:type="dxa"/>
            <w:vAlign w:val="bottom"/>
          </w:tcPr>
          <w:p>
            <w:pPr>
              <w:jc w:val="center"/>
              <w:ind w:right="1259"/>
              <w:spacing w:after="0" w:line="106" w:lineRule="exact"/>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2100" w:type="dxa"/>
            <w:vAlign w:val="bottom"/>
          </w:tcPr>
          <w:p>
            <w:pPr>
              <w:jc w:val="center"/>
              <w:ind w:left="1261"/>
              <w:spacing w:after="0" w:line="106" w:lineRule="exact"/>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172"/>
        </w:trPr>
        <w:tc>
          <w:tcPr>
            <w:tcW w:w="2980" w:type="dxa"/>
            <w:vAlign w:val="bottom"/>
          </w:tcPr>
          <w:p>
            <w:pPr>
              <w:jc w:val="center"/>
              <w:ind w:right="1279"/>
              <w:spacing w:after="0"/>
              <w:rPr>
                <w:sz w:val="20"/>
                <w:szCs w:val="20"/>
                <w:color w:val="auto"/>
              </w:rPr>
            </w:pPr>
            <w:r>
              <w:rPr>
                <w:rFonts w:ascii="Times New Roman" w:cs="Times New Roman" w:eastAsia="Times New Roman" w:hAnsi="Times New Roman"/>
                <w:sz w:val="14"/>
                <w:szCs w:val="14"/>
                <w:b w:val="1"/>
                <w:bCs w:val="1"/>
                <w:color w:val="auto"/>
              </w:rPr>
              <w:t>201 Third Street, Suite 200</w:t>
            </w:r>
          </w:p>
        </w:tc>
        <w:tc>
          <w:tcPr>
            <w:tcW w:w="2100" w:type="dxa"/>
            <w:vAlign w:val="bottom"/>
          </w:tcPr>
          <w:p>
            <w:pPr>
              <w:spacing w:after="0"/>
              <w:rPr>
                <w:sz w:val="14"/>
                <w:szCs w:val="14"/>
                <w:color w:val="auto"/>
              </w:rPr>
            </w:pPr>
          </w:p>
        </w:tc>
      </w:tr>
      <w:tr>
        <w:trPr>
          <w:trHeight w:val="173"/>
        </w:trPr>
        <w:tc>
          <w:tcPr>
            <w:tcW w:w="2980" w:type="dxa"/>
            <w:vAlign w:val="bottom"/>
          </w:tcPr>
          <w:p>
            <w:pPr>
              <w:jc w:val="center"/>
              <w:ind w:right="1279"/>
              <w:spacing w:after="0"/>
              <w:rPr>
                <w:sz w:val="20"/>
                <w:szCs w:val="20"/>
                <w:color w:val="auto"/>
              </w:rPr>
            </w:pPr>
            <w:r>
              <w:rPr>
                <w:rFonts w:ascii="Times New Roman" w:cs="Times New Roman" w:eastAsia="Times New Roman" w:hAnsi="Times New Roman"/>
                <w:sz w:val="14"/>
                <w:szCs w:val="14"/>
                <w:b w:val="1"/>
                <w:bCs w:val="1"/>
                <w:color w:val="auto"/>
              </w:rPr>
              <w:t>San Francisco, California</w:t>
            </w:r>
          </w:p>
        </w:tc>
        <w:tc>
          <w:tcPr>
            <w:tcW w:w="21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94103</w:t>
            </w:r>
          </w:p>
        </w:tc>
      </w:tr>
      <w:tr>
        <w:trPr>
          <w:trHeight w:val="131"/>
        </w:trPr>
        <w:tc>
          <w:tcPr>
            <w:tcW w:w="2980" w:type="dxa"/>
            <w:vAlign w:val="bottom"/>
          </w:tcPr>
          <w:p>
            <w:pPr>
              <w:jc w:val="center"/>
              <w:ind w:right="125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100" w:type="dxa"/>
            <w:vAlign w:val="bottom"/>
          </w:tcPr>
          <w:p>
            <w:pPr>
              <w:jc w:val="center"/>
              <w:ind w:left="1261"/>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231-2353</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161925</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8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31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Class A Common Stock, $0.00001 par value per share</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AMPL</w:t>
            </w:r>
          </w:p>
        </w:tc>
        <w:tc>
          <w:tcPr>
            <w:tcW w:w="8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37" w:lineRule="exact"/>
        <w:rPr>
          <w:sz w:val="24"/>
          <w:szCs w:val="24"/>
          <w:color w:val="auto"/>
        </w:rPr>
      </w:pPr>
    </w:p>
    <w:p>
      <w:pPr>
        <w:jc w:val="both"/>
        <w:ind w:left="640" w:right="73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jc w:val="both"/>
        <w:ind w:left="640" w:right="75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ind w:left="640" w:right="919" w:firstLine="412"/>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39" w:lineRule="exact"/>
        <w:rPr>
          <w:sz w:val="24"/>
          <w:szCs w:val="24"/>
          <w:color w:val="auto"/>
        </w:rPr>
      </w:pPr>
    </w:p>
    <w:p>
      <w:pPr>
        <w:ind w:left="640" w:right="759"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060"/>
        <w:spacing w:after="0" w:line="150" w:lineRule="exact"/>
        <w:tabs>
          <w:tab w:leader="none" w:pos="704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4" w:lineRule="exact"/>
        <w:rPr>
          <w:sz w:val="24"/>
          <w:szCs w:val="24"/>
          <w:color w:val="auto"/>
        </w:rPr>
      </w:pPr>
    </w:p>
    <w:p>
      <w:pPr>
        <w:ind w:left="640" w:right="799" w:firstLine="412"/>
        <w:spacing w:after="0" w:line="286" w:lineRule="auto"/>
        <w:rPr>
          <w:sz w:val="20"/>
          <w:szCs w:val="20"/>
          <w:color w:val="auto"/>
        </w:rPr>
      </w:pPr>
      <w:r>
        <w:rPr>
          <w:rFonts w:ascii="Times New Roman" w:cs="Times New Roman" w:eastAsia="Times New Roman" w:hAnsi="Times New Roman"/>
          <w:sz w:val="13"/>
          <w:szCs w:val="13"/>
          <w:color w:val="auto"/>
        </w:rPr>
        <w:t>As of November 2, 2026, there were 104,103,514 shares of the registrant's Class A common stock and 23,394,442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681355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33020</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46355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58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6580" w:type="dxa"/>
            <w:vAlign w:val="bottom"/>
            <w:gridSpan w:val="17"/>
            <w:vMerge w:val="continue"/>
          </w:tcPr>
          <w:p>
            <w:pPr>
              <w:spacing w:after="0"/>
              <w:rPr>
                <w:sz w:val="11"/>
                <w:szCs w:val="11"/>
                <w:color w:val="auto"/>
              </w:rPr>
            </w:pPr>
          </w:p>
        </w:tc>
        <w:tc>
          <w:tcPr>
            <w:tcW w:w="3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10</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11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23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120" w:type="dxa"/>
            <w:vAlign w:val="bottom"/>
            <w:tcBorders>
              <w:left w:val="single" w:sz="8" w:color="0000FF"/>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vMerge w:val="continue"/>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Legal Proceedings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54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8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8"/>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260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60" w:lineRule="exact"/>
        <w:rPr>
          <w:sz w:val="20"/>
          <w:szCs w:val="20"/>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revenue, expenses, and other operating results;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new customers;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usage of our AI-powered platform and upsell and cross-sell additional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or sustain profitability;</w:t>
      </w:r>
    </w:p>
    <w:p>
      <w:pPr>
        <w:spacing w:after="0" w:line="96" w:lineRule="exact"/>
        <w:rPr>
          <w:rFonts w:ascii="Times New Roman" w:cs="Times New Roman" w:eastAsia="Times New Roman" w:hAnsi="Times New Roman"/>
          <w:sz w:val="14"/>
          <w:szCs w:val="14"/>
          <w:color w:val="auto"/>
        </w:rPr>
      </w:pPr>
    </w:p>
    <w:p>
      <w:pPr>
        <w:ind w:left="1340" w:right="131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investments in our business, our anticipated capital expenditures, and our estimates regarding our capital requirements;</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success of our sales and marketing efforts, including our ability to grow and maintain our channel partners, and our ability to promote our brand;</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public health crises and other global events, such as the war in Ukraine and the conflicts in the Middle East, on our business and the global economy generally;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key personnel and our ability to identify, recruit, and retain skilled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growth by incorporating artificial intelligence and machine learning solutions into our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including any international expansion;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rights and any costs associated therewith;</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existing competitors and new market entrants;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associated with being a public company.</w:t>
      </w:r>
    </w:p>
    <w:p>
      <w:pPr>
        <w:spacing w:after="0" w:line="183"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We caution you that the foregoing list does not contain all of the forward-looking statements made in this Quarterly Report on Form 10-Q.</w:t>
      </w:r>
    </w:p>
    <w:p>
      <w:pPr>
        <w:spacing w:after="0" w:line="124"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7"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2"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5"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54" w:lineRule="exact"/>
        <w:rPr>
          <w:sz w:val="20"/>
          <w:szCs w:val="20"/>
          <w:color w:val="auto"/>
        </w:rPr>
      </w:pPr>
    </w:p>
    <w:p>
      <w:pPr>
        <w:ind w:left="1340" w:right="7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have been growing rapidly over the last several years, which makes it difficult to forecast our future results of operations and increases the risk of your investment.</w:t>
      </w:r>
    </w:p>
    <w:p>
      <w:pPr>
        <w:spacing w:after="0" w:line="37"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As our costs increase, we may not be able to generate sufficient revenue to achieve and sustain profitability.</w:t>
      </w:r>
    </w:p>
    <w:p>
      <w:pPr>
        <w:spacing w:after="0" w:line="37" w:lineRule="exact"/>
        <w:rPr>
          <w:rFonts w:ascii="Times New Roman" w:cs="Times New Roman" w:eastAsia="Times New Roman" w:hAnsi="Times New Roman"/>
          <w:sz w:val="14"/>
          <w:szCs w:val="14"/>
          <w:color w:val="auto"/>
        </w:rPr>
      </w:pPr>
    </w:p>
    <w:p>
      <w:pPr>
        <w:ind w:left="1340" w:right="9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4" w:lineRule="exact"/>
        <w:rPr>
          <w:rFonts w:ascii="Times New Roman" w:cs="Times New Roman" w:eastAsia="Times New Roman" w:hAnsi="Times New Roman"/>
          <w:sz w:val="14"/>
          <w:szCs w:val="14"/>
          <w:color w:val="auto"/>
        </w:rPr>
      </w:pPr>
    </w:p>
    <w:p>
      <w:pPr>
        <w:ind w:left="1340" w:right="81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50"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continue to focus on sales to larger enterprise organizations and may become more dependent on those relationships, which may increase the variability of our sales cycle and our results of operations.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recognize revenue over the term of our customer contracts. Consequently, downturns or upturns in new sales may not be immediately reflected in our results of operations and may be difficult to discern.</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37" w:lineRule="exact"/>
        <w:rPr>
          <w:rFonts w:ascii="Times New Roman" w:cs="Times New Roman" w:eastAsia="Times New Roman" w:hAnsi="Times New Roman"/>
          <w:sz w:val="14"/>
          <w:szCs w:val="14"/>
          <w:color w:val="auto"/>
        </w:rPr>
      </w:pPr>
    </w:p>
    <w:p>
      <w:pPr>
        <w:ind w:left="1340" w:right="87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market for SaaS applications develops more slowly than we expect or declines, our business would be materially adversely affected.</w:t>
      </w:r>
    </w:p>
    <w:p>
      <w:pPr>
        <w:spacing w:after="0" w:line="37" w:lineRule="exact"/>
        <w:rPr>
          <w:rFonts w:ascii="Times New Roman" w:cs="Times New Roman" w:eastAsia="Times New Roman" w:hAnsi="Times New Roman"/>
          <w:sz w:val="14"/>
          <w:szCs w:val="14"/>
          <w:color w:val="auto"/>
        </w:rPr>
      </w:pPr>
    </w:p>
    <w:p>
      <w:pPr>
        <w:ind w:left="1340" w:right="87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in which we operate is highly competitive, and our ability to compete depends on developments in our technology, including the successful deployment of AI in our products. If we do not compete effectively, our business, financial condition, and results of operations could be materially adversely affected.</w:t>
      </w:r>
    </w:p>
    <w:p>
      <w:pPr>
        <w:spacing w:after="0" w:line="50"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 may not protect our business or provide us with a competitive advantage, which could have a material adverse effect on our business, financial condition, and results of operations.</w:t>
      </w:r>
    </w:p>
    <w:p>
      <w:pPr>
        <w:spacing w:after="0" w:line="37" w:lineRule="exact"/>
        <w:rPr>
          <w:rFonts w:ascii="Times New Roman" w:cs="Times New Roman" w:eastAsia="Times New Roman" w:hAnsi="Times New Roman"/>
          <w:sz w:val="14"/>
          <w:szCs w:val="14"/>
          <w:color w:val="auto"/>
        </w:rPr>
      </w:pPr>
    </w:p>
    <w:p>
      <w:pPr>
        <w:ind w:left="1340" w:right="7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development and use of machine learning and generative artificial intelligence technologies (collectively, “AI Technologies”) within our AI-powered platform may not achieve their intended benefits and may expose us to technical, legal, and regulatory risks, which could have a material adverse effect on our business, financial condition, and results of operations.</w:t>
      </w:r>
    </w:p>
    <w:p>
      <w:pPr>
        <w:spacing w:after="0" w:line="54"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government regulations, including import and export control, economic sanctions, and trade sanctions, and anti-corruption laws and regulations, which may expose us to liability and increase our costs.</w:t>
      </w:r>
    </w:p>
    <w:p>
      <w:pPr>
        <w:spacing w:after="0" w:line="37" w:lineRule="exact"/>
        <w:rPr>
          <w:rFonts w:ascii="Times New Roman" w:cs="Times New Roman" w:eastAsia="Times New Roman" w:hAnsi="Times New Roman"/>
          <w:sz w:val="14"/>
          <w:szCs w:val="14"/>
          <w:color w:val="auto"/>
        </w:rPr>
      </w:pPr>
    </w:p>
    <w:p>
      <w:pPr>
        <w:ind w:left="1340" w:right="7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54" w:lineRule="exact"/>
        <w:rPr>
          <w:rFonts w:ascii="Times New Roman" w:cs="Times New Roman" w:eastAsia="Times New Roman" w:hAnsi="Times New Roman"/>
          <w:sz w:val="14"/>
          <w:szCs w:val="14"/>
          <w:color w:val="auto"/>
        </w:rPr>
      </w:pPr>
    </w:p>
    <w:p>
      <w:pPr>
        <w:ind w:left="1340" w:right="133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our Class A common stock has been, and in the future, may be, volatile, and could decline significantly and rapidly.</w:t>
      </w:r>
    </w:p>
    <w:p>
      <w:pPr>
        <w:spacing w:after="0" w:line="37"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principal stockholders have the ability to influence the outcome of director elections and other matters requiring stockholder approval.</w:t>
      </w:r>
    </w:p>
    <w:p>
      <w:pPr>
        <w:spacing w:after="0" w:line="37" w:lineRule="exact"/>
        <w:rPr>
          <w:rFonts w:ascii="Times New Roman" w:cs="Times New Roman" w:eastAsia="Times New Roman" w:hAnsi="Times New Roman"/>
          <w:sz w:val="14"/>
          <w:szCs w:val="14"/>
          <w:color w:val="auto"/>
        </w:rPr>
      </w:pPr>
    </w:p>
    <w:p>
      <w:pPr>
        <w:ind w:left="1340" w:right="6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9"/>
              </w:rPr>
              <w:t>September 30, 2026</w:t>
            </w:r>
          </w:p>
        </w:tc>
        <w:tc>
          <w:tcPr>
            <w:tcW w:w="1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54"/>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58,856</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81,119</w:t>
            </w:r>
          </w:p>
        </w:tc>
      </w:tr>
      <w:tr>
        <w:trPr>
          <w:trHeight w:val="16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 current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Marketable securities, current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81,660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110,882</w:t>
            </w:r>
          </w:p>
        </w:tc>
      </w:tr>
      <w:tr>
        <w:trPr>
          <w:trHeight w:val="150"/>
        </w:trPr>
        <w:tc>
          <w:tcPr>
            <w:tcW w:w="20" w:type="dxa"/>
            <w:vAlign w:val="bottom"/>
          </w:tcPr>
          <w:p>
            <w:pPr>
              <w:spacing w:after="0"/>
              <w:rPr>
                <w:sz w:val="13"/>
                <w:szCs w:val="13"/>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$1,639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and $1,046 as of September 30, 2026 and December 31, 2025, respectively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41,194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23,423</w:t>
            </w:r>
          </w:p>
        </w:tc>
      </w:tr>
      <w:tr>
        <w:trPr>
          <w:trHeight w:val="164"/>
        </w:trPr>
        <w:tc>
          <w:tcPr>
            <w:tcW w:w="20" w:type="dxa"/>
            <w:vAlign w:val="bottom"/>
          </w:tcPr>
          <w:p>
            <w:pPr>
              <w:spacing w:after="0"/>
              <w:rPr>
                <w:sz w:val="14"/>
                <w:szCs w:val="14"/>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25,770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22,859</w:t>
            </w:r>
          </w:p>
        </w:tc>
      </w:tr>
      <w:tr>
        <w:trPr>
          <w:trHeight w:val="16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commissions, current</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21,066</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18,380</w:t>
            </w:r>
          </w:p>
        </w:tc>
      </w:tr>
      <w:tr>
        <w:trPr>
          <w:trHeight w:val="152"/>
        </w:trPr>
        <w:tc>
          <w:tcPr>
            <w:tcW w:w="20" w:type="dxa"/>
            <w:vAlign w:val="bottom"/>
          </w:tcPr>
          <w:p>
            <w:pPr>
              <w:spacing w:after="0"/>
              <w:rPr>
                <w:sz w:val="13"/>
                <w:szCs w:val="13"/>
                <w:color w:val="auto"/>
              </w:rPr>
            </w:pPr>
          </w:p>
        </w:tc>
        <w:tc>
          <w:tcPr>
            <w:tcW w:w="49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2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228,598</w:t>
            </w: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256,663</w:t>
            </w:r>
          </w:p>
        </w:tc>
      </w:tr>
      <w:tr>
        <w:trPr>
          <w:trHeight w:val="152"/>
        </w:trPr>
        <w:tc>
          <w:tcPr>
            <w:tcW w:w="20" w:type="dxa"/>
            <w:vAlign w:val="bottom"/>
          </w:tcPr>
          <w:p>
            <w:pPr>
              <w:spacing w:after="0"/>
              <w:rPr>
                <w:sz w:val="13"/>
                <w:szCs w:val="13"/>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Marketable securities, non-current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13,771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60,543</w:t>
            </w: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18,001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18,632</w:t>
            </w:r>
          </w:p>
        </w:tc>
      </w:tr>
      <w:tr>
        <w:trPr>
          <w:trHeight w:val="16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Intangible assets, net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14,344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6,376</w:t>
            </w: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25,180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25,180</w:t>
            </w:r>
          </w:p>
        </w:tc>
      </w:tr>
      <w:tr>
        <w:trPr>
          <w:trHeight w:val="16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850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850</w:t>
            </w: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Deferred commissions, non-current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40,578</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35,135</w:t>
            </w:r>
          </w:p>
        </w:tc>
      </w:tr>
      <w:tr>
        <w:trPr>
          <w:trHeight w:val="16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7,473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9,045</w:t>
            </w:r>
          </w:p>
        </w:tc>
      </w:tr>
      <w:tr>
        <w:trPr>
          <w:trHeight w:val="161"/>
        </w:trPr>
        <w:tc>
          <w:tcPr>
            <w:tcW w:w="20" w:type="dxa"/>
            <w:vAlign w:val="bottom"/>
          </w:tcPr>
          <w:p>
            <w:pPr>
              <w:spacing w:after="0"/>
              <w:rPr>
                <w:sz w:val="14"/>
                <w:szCs w:val="14"/>
                <w:color w:val="auto"/>
              </w:rPr>
            </w:pPr>
          </w:p>
        </w:tc>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7,877</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8,260</w:t>
            </w:r>
          </w:p>
        </w:tc>
      </w:tr>
      <w:tr>
        <w:trPr>
          <w:trHeight w:val="152"/>
        </w:trPr>
        <w:tc>
          <w:tcPr>
            <w:tcW w:w="20" w:type="dxa"/>
            <w:vAlign w:val="bottom"/>
          </w:tcPr>
          <w:p>
            <w:pPr>
              <w:spacing w:after="0"/>
              <w:rPr>
                <w:sz w:val="13"/>
                <w:szCs w:val="13"/>
                <w:color w:val="auto"/>
              </w:rPr>
            </w:pPr>
          </w:p>
        </w:tc>
        <w:tc>
          <w:tcPr>
            <w:tcW w:w="4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assets</w:t>
            </w: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356,672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420,684</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4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7,975</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5,734</w:t>
            </w:r>
          </w:p>
        </w:tc>
      </w:tr>
      <w:tr>
        <w:trPr>
          <w:trHeight w:val="16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45,582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37,124</w:t>
            </w:r>
          </w:p>
        </w:tc>
      </w:tr>
      <w:tr>
        <w:trPr>
          <w:trHeight w:val="161"/>
        </w:trPr>
        <w:tc>
          <w:tcPr>
            <w:tcW w:w="20" w:type="dxa"/>
            <w:vAlign w:val="bottom"/>
          </w:tcPr>
          <w:p>
            <w:pPr>
              <w:spacing w:after="0"/>
              <w:rPr>
                <w:sz w:val="14"/>
                <w:szCs w:val="14"/>
                <w:color w:val="auto"/>
              </w:rPr>
            </w:pPr>
          </w:p>
        </w:tc>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166,001</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121,888</w:t>
            </w:r>
          </w:p>
        </w:tc>
      </w:tr>
      <w:tr>
        <w:trPr>
          <w:trHeight w:val="152"/>
        </w:trPr>
        <w:tc>
          <w:tcPr>
            <w:tcW w:w="20" w:type="dxa"/>
            <w:vAlign w:val="bottom"/>
          </w:tcPr>
          <w:p>
            <w:pPr>
              <w:spacing w:after="0"/>
              <w:rPr>
                <w:sz w:val="13"/>
                <w:szCs w:val="13"/>
                <w:color w:val="auto"/>
              </w:rPr>
            </w:pPr>
          </w:p>
        </w:tc>
        <w:tc>
          <w:tcPr>
            <w:tcW w:w="4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219,558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164,746</w:t>
            </w: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4,521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6,882</w:t>
            </w:r>
          </w:p>
        </w:tc>
      </w:tr>
      <w:tr>
        <w:trPr>
          <w:trHeight w:val="161"/>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4,716</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3,710</w:t>
            </w:r>
          </w:p>
        </w:tc>
      </w:tr>
      <w:tr>
        <w:trPr>
          <w:trHeight w:val="152"/>
        </w:trPr>
        <w:tc>
          <w:tcPr>
            <w:tcW w:w="20" w:type="dxa"/>
            <w:vAlign w:val="bottom"/>
          </w:tcPr>
          <w:p>
            <w:pPr>
              <w:spacing w:after="0"/>
              <w:rPr>
                <w:sz w:val="13"/>
                <w:szCs w:val="13"/>
                <w:color w:val="auto"/>
              </w:rPr>
            </w:pPr>
          </w:p>
        </w:tc>
        <w:tc>
          <w:tcPr>
            <w:tcW w:w="49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2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228,795</w:t>
            </w: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175,338</w:t>
            </w:r>
          </w:p>
        </w:tc>
      </w:tr>
      <w:tr>
        <w:trPr>
          <w:trHeight w:val="152"/>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$0.00001 par value per share; 20,000 shares authorized as of</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September 30, 2026 and December 31, 2025; zero shares issued and outstanding as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September 30, 2026 and December 31, 2025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3"/>
        </w:trPr>
        <w:tc>
          <w:tcPr>
            <w:tcW w:w="20" w:type="dxa"/>
            <w:vAlign w:val="bottom"/>
          </w:tcPr>
          <w:p>
            <w:pPr>
              <w:spacing w:after="0"/>
              <w:rPr>
                <w:sz w:val="13"/>
                <w:szCs w:val="13"/>
                <w:color w:val="auto"/>
              </w:rPr>
            </w:pPr>
          </w:p>
        </w:tc>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Class A common stock, $0.00001 par value per share; 600,000 shares authorized as of</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September 30, 2026 and December 31, 2025; 103,850 and 104,400 shares issued and</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outstanding as of September 30, 2026 and December 31, 2025, respectively</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r>
      <w:tr>
        <w:trPr>
          <w:trHeight w:val="150"/>
        </w:trPr>
        <w:tc>
          <w:tcPr>
            <w:tcW w:w="20" w:type="dxa"/>
            <w:vAlign w:val="bottom"/>
          </w:tcPr>
          <w:p>
            <w:pPr>
              <w:spacing w:after="0"/>
              <w:rPr>
                <w:sz w:val="13"/>
                <w:szCs w:val="13"/>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B common stock, $0.00001 par value per share; 600,000 shares authorized as of</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September 30, 2026 and December 31, 2025; 23,469 and 29,633 shares issued and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outstanding as of September 30, 2026 and December 31, 2025, respectively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757,015</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791,146</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589</w:t>
            </w:r>
          </w:p>
        </w:tc>
      </w:tr>
      <w:tr>
        <w:trPr>
          <w:trHeight w:val="161"/>
        </w:trPr>
        <w:tc>
          <w:tcPr>
            <w:tcW w:w="20" w:type="dxa"/>
            <w:vAlign w:val="bottom"/>
          </w:tcPr>
          <w:p>
            <w:pPr>
              <w:spacing w:after="0"/>
              <w:rPr>
                <w:sz w:val="14"/>
                <w:szCs w:val="14"/>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(628,805)</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(546,390)</w:t>
            </w:r>
          </w:p>
        </w:tc>
      </w:tr>
      <w:tr>
        <w:trPr>
          <w:trHeight w:val="152"/>
        </w:trPr>
        <w:tc>
          <w:tcPr>
            <w:tcW w:w="20" w:type="dxa"/>
            <w:vAlign w:val="bottom"/>
          </w:tcPr>
          <w:p>
            <w:pPr>
              <w:spacing w:after="0"/>
              <w:rPr>
                <w:sz w:val="13"/>
                <w:szCs w:val="13"/>
                <w:color w:val="auto"/>
              </w:rPr>
            </w:pPr>
          </w:p>
        </w:tc>
        <w:tc>
          <w:tcPr>
            <w:tcW w:w="4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127,877</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245,346</w:t>
            </w:r>
          </w:p>
        </w:tc>
      </w:tr>
      <w:tr>
        <w:trPr>
          <w:trHeight w:val="172"/>
        </w:trPr>
        <w:tc>
          <w:tcPr>
            <w:tcW w:w="20" w:type="dxa"/>
            <w:vAlign w:val="bottom"/>
          </w:tcPr>
          <w:p>
            <w:pPr>
              <w:spacing w:after="0"/>
              <w:rPr>
                <w:sz w:val="14"/>
                <w:szCs w:val="14"/>
                <w:color w:val="auto"/>
              </w:rPr>
            </w:pPr>
          </w:p>
        </w:tc>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356,672</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420,684</w:t>
            </w: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-3566160</wp:posOffset>
            </wp:positionV>
            <wp:extent cx="749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-2740660</wp:posOffset>
            </wp:positionV>
            <wp:extent cx="749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-2099945</wp:posOffset>
            </wp:positionV>
            <wp:extent cx="749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-1677035</wp:posOffset>
            </wp:positionV>
            <wp:extent cx="749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-238125</wp:posOffset>
            </wp:positionV>
            <wp:extent cx="749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-19685</wp:posOffset>
            </wp:positionV>
            <wp:extent cx="749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-6350</wp:posOffset>
            </wp:positionV>
            <wp:extent cx="749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110,644</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88,564</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305,023</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251,788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36,250</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23,074</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93,244</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66,091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74,394</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65,490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211,779</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185,697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33,507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26,612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92,484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74,239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48,296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48,306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148,256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139,407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17,213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16,222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52,041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48,994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2,934</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99,016</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91,140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295,715</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262,640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(25,650)</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(83,936)</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4,929</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8,317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3,408</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(24,524)</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(82,415)</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loss per share attributable to Class A and Class B common</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attributable to Class A and Class B common stockholders:</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125,988</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132,997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129,530</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131,364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gains (losses) on marketable securities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020" w:type="dxa"/>
            <w:vAlign w:val="bottom"/>
            <w:shd w:val="clear" w:color="auto" w:fill="CFF0FC"/>
          </w:tcPr>
          <w:p>
            <w:pPr>
              <w:ind w:left="260"/>
              <w:spacing w:after="0" w:line="144" w:lineRule="exact"/>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(24,721)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(23,804)</w:t>
            </w:r>
          </w:p>
        </w:tc>
        <w:tc>
          <w:tcPr>
            <w:tcW w:w="24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(83,338)</w:t>
            </w:r>
          </w:p>
        </w:tc>
        <w:tc>
          <w:tcPr>
            <w:tcW w:w="22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(70,363)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-2433955</wp:posOffset>
            </wp:positionV>
            <wp:extent cx="546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-2433955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-2433955</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-1765300</wp:posOffset>
            </wp:positionV>
            <wp:extent cx="546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-1765300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-1765300</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-1533525</wp:posOffset>
            </wp:positionV>
            <wp:extent cx="546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-1533525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-1533525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-1308735</wp:posOffset>
            </wp:positionV>
            <wp:extent cx="546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-1308735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-1308735</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-19685</wp:posOffset>
            </wp:positionV>
            <wp:extent cx="546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-6350</wp:posOffset>
            </wp:positionV>
            <wp:extent cx="5461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-19685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-6350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-19685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-6350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1"/>
                <w:szCs w:val="11"/>
                <w:color w:val="auto"/>
              </w:rPr>
            </w:pPr>
          </w:p>
        </w:tc>
        <w:tc>
          <w:tcPr>
            <w:tcW w:w="1980" w:type="dxa"/>
            <w:vAlign w:val="bottom"/>
            <w:gridSpan w:val="3"/>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Class A and Class B 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348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3480" w:type="dxa"/>
            <w:vAlign w:val="bottom"/>
          </w:tcPr>
          <w:p>
            <w:pPr>
              <w:spacing w:after="0"/>
              <w:rPr>
                <w:sz w:val="9"/>
                <w:szCs w:val="9"/>
                <w:color w:val="auto"/>
              </w:rPr>
            </w:pPr>
          </w:p>
        </w:tc>
        <w:tc>
          <w:tcPr>
            <w:tcW w:w="960" w:type="dxa"/>
            <w:vAlign w:val="bottom"/>
            <w:tcBorders>
              <w:bottom w:val="single" w:sz="8" w:color="auto"/>
            </w:tcBorders>
          </w:tcPr>
          <w:p>
            <w:pPr>
              <w:jc w:val="right"/>
              <w:ind w:right="263"/>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900" w:type="dxa"/>
            <w:vAlign w:val="bottom"/>
            <w:tcBorders>
              <w:bottom w:val="single" w:sz="8" w:color="auto"/>
            </w:tcBorders>
          </w:tcPr>
          <w:p>
            <w:pPr>
              <w:jc w:val="right"/>
              <w:ind w:right="12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ind w:right="123"/>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43"/>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23"/>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center"/>
              <w:ind w:right="103"/>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9"/>
        </w:trPr>
        <w:tc>
          <w:tcPr>
            <w:tcW w:w="34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2025</w:t>
            </w:r>
          </w:p>
        </w:tc>
        <w:tc>
          <w:tcPr>
            <w:tcW w:w="9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134,033</w:t>
            </w:r>
          </w:p>
        </w:tc>
        <w:tc>
          <w:tcPr>
            <w:tcW w:w="1020" w:type="dxa"/>
            <w:vAlign w:val="bottom"/>
            <w:gridSpan w:val="2"/>
            <w:shd w:val="clear" w:color="auto" w:fill="CFF0FC"/>
          </w:tcPr>
          <w:p>
            <w:pPr>
              <w:jc w:val="right"/>
              <w:ind w:right="783"/>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280" w:type="dxa"/>
            <w:vAlign w:val="bottom"/>
            <w:gridSpan w:val="2"/>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791,146</w:t>
            </w:r>
          </w:p>
        </w:tc>
        <w:tc>
          <w:tcPr>
            <w:tcW w:w="2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589</w:t>
            </w:r>
          </w:p>
        </w:tc>
        <w:tc>
          <w:tcPr>
            <w:tcW w:w="240" w:type="dxa"/>
            <w:vAlign w:val="bottom"/>
            <w:gridSpan w:val="2"/>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(546,390)</w:t>
            </w:r>
          </w:p>
        </w:tc>
        <w:tc>
          <w:tcPr>
            <w:tcW w:w="240" w:type="dxa"/>
            <w:vAlign w:val="bottom"/>
            <w:gridSpan w:val="2"/>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245,346</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20,773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20,773</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Forfeiture of unvested shares issued in connection with acquisition</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(258)</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377</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459</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1,924</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Tax withholding on net share settlement of restricted stock units</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(737)</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(4,674)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(4,674)</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Tax on share repurchases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(123)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(123)</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Repurchase of common stock</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(2,755)</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(20,728)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(20,728)</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(23,274)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(23,274)</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income (loss), net</w:t>
            </w:r>
          </w:p>
        </w:tc>
        <w:tc>
          <w:tcPr>
            <w:tcW w:w="9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(474)</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(474)</w:t>
            </w:r>
          </w:p>
        </w:tc>
        <w:tc>
          <w:tcPr>
            <w:tcW w:w="0" w:type="dxa"/>
            <w:vAlign w:val="bottom"/>
          </w:tcPr>
          <w:p>
            <w:pPr>
              <w:spacing w:after="0"/>
              <w:rPr>
                <w:sz w:val="1"/>
                <w:szCs w:val="1"/>
                <w:color w:val="auto"/>
              </w:rPr>
            </w:pPr>
          </w:p>
        </w:tc>
      </w:tr>
      <w:tr>
        <w:trPr>
          <w:trHeight w:val="149"/>
        </w:trPr>
        <w:tc>
          <w:tcPr>
            <w:tcW w:w="34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2026</w:t>
            </w:r>
          </w:p>
        </w:tc>
        <w:tc>
          <w:tcPr>
            <w:tcW w:w="9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132,584</w:t>
            </w:r>
          </w:p>
        </w:tc>
        <w:tc>
          <w:tcPr>
            <w:tcW w:w="1020" w:type="dxa"/>
            <w:vAlign w:val="bottom"/>
            <w:gridSpan w:val="2"/>
            <w:shd w:val="clear" w:color="auto" w:fill="CFF0FC"/>
          </w:tcPr>
          <w:p>
            <w:pPr>
              <w:jc w:val="right"/>
              <w:ind w:right="783"/>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280" w:type="dxa"/>
            <w:vAlign w:val="bottom"/>
            <w:gridSpan w:val="2"/>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786,853</w:t>
            </w:r>
          </w:p>
        </w:tc>
        <w:tc>
          <w:tcPr>
            <w:tcW w:w="2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115</w:t>
            </w:r>
          </w:p>
        </w:tc>
        <w:tc>
          <w:tcPr>
            <w:tcW w:w="240" w:type="dxa"/>
            <w:vAlign w:val="bottom"/>
            <w:gridSpan w:val="2"/>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(569,664)</w:t>
            </w:r>
          </w:p>
        </w:tc>
        <w:tc>
          <w:tcPr>
            <w:tcW w:w="240" w:type="dxa"/>
            <w:vAlign w:val="bottom"/>
            <w:gridSpan w:val="2"/>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217,305</w:t>
            </w:r>
          </w:p>
        </w:tc>
        <w:tc>
          <w:tcPr>
            <w:tcW w:w="0" w:type="dxa"/>
            <w:vAlign w:val="bottom"/>
          </w:tcPr>
          <w:p>
            <w:pPr>
              <w:spacing w:after="0"/>
              <w:rPr>
                <w:sz w:val="1"/>
                <w:szCs w:val="1"/>
                <w:color w:val="auto"/>
              </w:rPr>
            </w:pPr>
          </w:p>
        </w:tc>
      </w:tr>
      <w:tr>
        <w:trPr>
          <w:trHeight w:val="90"/>
        </w:trPr>
        <w:tc>
          <w:tcPr>
            <w:tcW w:w="3480" w:type="dxa"/>
            <w:vAlign w:val="bottom"/>
            <w:tcBorders>
              <w:top w:val="single" w:sz="8" w:color="CFF0FC"/>
            </w:tcBorders>
          </w:tcPr>
          <w:p>
            <w:pPr>
              <w:spacing w:after="0" w:line="91"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9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FF0FC"/>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27,197</w:t>
            </w:r>
          </w:p>
        </w:tc>
        <w:tc>
          <w:tcPr>
            <w:tcW w:w="1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27,197</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114</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421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441</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2,318</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2,994</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Tax withholding on net share settlement of restricted stock units</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(1,136)</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(6,901)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(6,901)</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Tax on share repurchases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(540)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(540)</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Repurchase of common stock</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(10,185)</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(68,733)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(68,733)</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(34,617)</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(34,617)</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income (loss), net</w:t>
            </w:r>
          </w:p>
        </w:tc>
        <w:tc>
          <w:tcPr>
            <w:tcW w:w="9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(252)</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(252)</w:t>
            </w:r>
          </w:p>
        </w:tc>
        <w:tc>
          <w:tcPr>
            <w:tcW w:w="0" w:type="dxa"/>
            <w:vAlign w:val="bottom"/>
          </w:tcPr>
          <w:p>
            <w:pPr>
              <w:spacing w:after="0"/>
              <w:rPr>
                <w:sz w:val="1"/>
                <w:szCs w:val="1"/>
                <w:color w:val="auto"/>
              </w:rPr>
            </w:pPr>
          </w:p>
        </w:tc>
      </w:tr>
      <w:tr>
        <w:trPr>
          <w:trHeight w:val="149"/>
        </w:trPr>
        <w:tc>
          <w:tcPr>
            <w:tcW w:w="34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2026</w:t>
            </w:r>
          </w:p>
        </w:tc>
        <w:tc>
          <w:tcPr>
            <w:tcW w:w="9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124,812</w:t>
            </w: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78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740,615</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(137)</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(604,281)</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136,198</w:t>
            </w:r>
          </w:p>
        </w:tc>
        <w:tc>
          <w:tcPr>
            <w:tcW w:w="0" w:type="dxa"/>
            <w:vAlign w:val="bottom"/>
          </w:tcPr>
          <w:p>
            <w:pPr>
              <w:spacing w:after="0"/>
              <w:rPr>
                <w:sz w:val="1"/>
                <w:szCs w:val="1"/>
                <w:color w:val="auto"/>
              </w:rPr>
            </w:pPr>
          </w:p>
        </w:tc>
      </w:tr>
      <w:tr>
        <w:trPr>
          <w:trHeight w:val="90"/>
        </w:trPr>
        <w:tc>
          <w:tcPr>
            <w:tcW w:w="348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9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28,341</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28,341</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848</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2,456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2,456</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2,784</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Tax withholding on net share settlement of restricted stock units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(1,125)</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(14,643)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(14,643)</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Tax on share repurchases</w:t>
            </w: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246</w:t>
            </w:r>
          </w:p>
        </w:tc>
        <w:tc>
          <w:tcPr>
            <w:tcW w:w="0" w:type="dxa"/>
            <w:vAlign w:val="bottom"/>
          </w:tcPr>
          <w:p>
            <w:pPr>
              <w:spacing w:after="0"/>
              <w:rPr>
                <w:sz w:val="1"/>
                <w:szCs w:val="1"/>
                <w:color w:val="auto"/>
              </w:rPr>
            </w:pPr>
          </w:p>
        </w:tc>
      </w:tr>
      <w:tr>
        <w:trPr>
          <w:trHeight w:val="118"/>
        </w:trPr>
        <w:tc>
          <w:tcPr>
            <w:tcW w:w="34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(24,524)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(24,524)</w:t>
            </w:r>
          </w:p>
        </w:tc>
        <w:tc>
          <w:tcPr>
            <w:tcW w:w="0" w:type="dxa"/>
            <w:vAlign w:val="bottom"/>
          </w:tcPr>
          <w:p>
            <w:pPr>
              <w:spacing w:after="0"/>
              <w:rPr>
                <w:sz w:val="1"/>
                <w:szCs w:val="1"/>
                <w:color w:val="auto"/>
              </w:rPr>
            </w:pPr>
          </w:p>
        </w:tc>
      </w:tr>
      <w:tr>
        <w:trPr>
          <w:trHeight w:val="118"/>
        </w:trPr>
        <w:tc>
          <w:tcPr>
            <w:tcW w:w="34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income (loss), net</w:t>
            </w:r>
          </w:p>
        </w:tc>
        <w:tc>
          <w:tcPr>
            <w:tcW w:w="9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(197)</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(197)</w:t>
            </w:r>
          </w:p>
        </w:tc>
        <w:tc>
          <w:tcPr>
            <w:tcW w:w="0" w:type="dxa"/>
            <w:vAlign w:val="bottom"/>
          </w:tcPr>
          <w:p>
            <w:pPr>
              <w:spacing w:after="0"/>
              <w:rPr>
                <w:sz w:val="1"/>
                <w:szCs w:val="1"/>
                <w:color w:val="auto"/>
              </w:rPr>
            </w:pPr>
          </w:p>
        </w:tc>
      </w:tr>
      <w:tr>
        <w:trPr>
          <w:trHeight w:val="149"/>
        </w:trPr>
        <w:tc>
          <w:tcPr>
            <w:tcW w:w="34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September 30, 2026</w:t>
            </w:r>
          </w:p>
        </w:tc>
        <w:tc>
          <w:tcPr>
            <w:tcW w:w="9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127,319</w:t>
            </w: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78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757,015</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(334)</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(628,805)</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127,877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-1424305</wp:posOffset>
            </wp:positionV>
            <wp:extent cx="679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-1410970</wp:posOffset>
            </wp:positionV>
            <wp:extent cx="679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-1424305</wp:posOffset>
            </wp:positionV>
            <wp:extent cx="679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-1410970</wp:posOffset>
            </wp:positionV>
            <wp:extent cx="679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-1424305</wp:posOffset>
            </wp:positionV>
            <wp:extent cx="6794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-1410970</wp:posOffset>
            </wp:positionV>
            <wp:extent cx="6794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-1424305</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-1410970</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-1424305</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-1410970</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-647065</wp:posOffset>
            </wp:positionV>
            <wp:extent cx="6794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-633730</wp:posOffset>
            </wp:positionV>
            <wp:extent cx="679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-647065</wp:posOffset>
            </wp:positionV>
            <wp:extent cx="679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-633730</wp:posOffset>
            </wp:positionV>
            <wp:extent cx="679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-647065</wp:posOffset>
            </wp:positionV>
            <wp:extent cx="679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-633730</wp:posOffset>
            </wp:positionV>
            <wp:extent cx="6794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-647065</wp:posOffset>
            </wp:positionV>
            <wp:extent cx="615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-633730</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-647065</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-633730</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-19685</wp:posOffset>
            </wp:positionV>
            <wp:extent cx="6794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-6350</wp:posOffset>
            </wp:positionV>
            <wp:extent cx="679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-19685</wp:posOffset>
            </wp:positionV>
            <wp:extent cx="679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-6350</wp:posOffset>
            </wp:positionV>
            <wp:extent cx="679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-19685</wp:posOffset>
            </wp:positionV>
            <wp:extent cx="6794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-6350</wp:posOffset>
            </wp:positionV>
            <wp:extent cx="679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-19685</wp:posOffset>
            </wp:positionV>
            <wp:extent cx="615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-6350</wp:posOffset>
            </wp:positionV>
            <wp:extent cx="615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-19685</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-6350</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982" w:right="7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and Class B common 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188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3340" w:type="dxa"/>
            <w:vAlign w:val="bottom"/>
          </w:tcPr>
          <w:p>
            <w:pPr>
              <w:spacing w:after="0"/>
              <w:rPr>
                <w:sz w:val="9"/>
                <w:szCs w:val="9"/>
                <w:color w:val="auto"/>
              </w:rPr>
            </w:pPr>
          </w:p>
        </w:tc>
        <w:tc>
          <w:tcPr>
            <w:tcW w:w="960" w:type="dxa"/>
            <w:vAlign w:val="bottom"/>
            <w:tcBorders>
              <w:bottom w:val="single" w:sz="8" w:color="auto"/>
            </w:tcBorders>
          </w:tcPr>
          <w:p>
            <w:pPr>
              <w:jc w:val="right"/>
              <w:ind w:right="303"/>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820" w:type="dxa"/>
            <w:vAlign w:val="bottom"/>
            <w:tcBorders>
              <w:bottom w:val="single" w:sz="8" w:color="auto"/>
            </w:tcBorders>
          </w:tcPr>
          <w:p>
            <w:pPr>
              <w:jc w:val="right"/>
              <w:ind w:right="10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83"/>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center"/>
              <w:ind w:right="123"/>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363"/>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center"/>
              <w:ind w:right="203"/>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9"/>
        </w:trPr>
        <w:tc>
          <w:tcPr>
            <w:tcW w:w="334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2024</w:t>
            </w:r>
          </w:p>
        </w:tc>
        <w:tc>
          <w:tcPr>
            <w:tcW w:w="96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129,188</w:t>
            </w:r>
          </w:p>
        </w:tc>
        <w:tc>
          <w:tcPr>
            <w:tcW w:w="920" w:type="dxa"/>
            <w:vAlign w:val="bottom"/>
            <w:gridSpan w:val="2"/>
            <w:shd w:val="clear" w:color="auto" w:fill="CFF0FC"/>
          </w:tcPr>
          <w:p>
            <w:pPr>
              <w:jc w:val="right"/>
              <w:ind w:right="703"/>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gridSpan w:val="2"/>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ind w:right="63"/>
              <w:spacing w:after="0" w:line="109" w:lineRule="exact"/>
              <w:rPr>
                <w:sz w:val="20"/>
                <w:szCs w:val="20"/>
                <w:color w:val="auto"/>
              </w:rPr>
            </w:pPr>
            <w:r>
              <w:rPr>
                <w:rFonts w:ascii="Times New Roman" w:cs="Times New Roman" w:eastAsia="Times New Roman" w:hAnsi="Times New Roman"/>
                <w:sz w:val="11"/>
                <w:szCs w:val="11"/>
                <w:color w:val="auto"/>
              </w:rPr>
              <w:t>754,398</w:t>
            </w: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FF0FC"/>
          </w:tcPr>
          <w:p>
            <w:pPr>
              <w:jc w:val="right"/>
              <w:ind w:right="43"/>
              <w:spacing w:after="0" w:line="109"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(457,849)</w:t>
            </w:r>
          </w:p>
        </w:tc>
        <w:tc>
          <w:tcPr>
            <w:tcW w:w="240" w:type="dxa"/>
            <w:vAlign w:val="bottom"/>
            <w:gridSpan w:val="2"/>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ind w:right="63"/>
              <w:spacing w:after="0" w:line="109" w:lineRule="exact"/>
              <w:rPr>
                <w:sz w:val="20"/>
                <w:szCs w:val="20"/>
                <w:color w:val="auto"/>
              </w:rPr>
            </w:pPr>
            <w:r>
              <w:rPr>
                <w:rFonts w:ascii="Times New Roman" w:cs="Times New Roman" w:eastAsia="Times New Roman" w:hAnsi="Times New Roman"/>
                <w:sz w:val="11"/>
                <w:szCs w:val="11"/>
                <w:color w:val="auto"/>
              </w:rPr>
              <w:t>296,556</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21,355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21,355</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534</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1,529</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1,529</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1,805</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Tax withholding on net share settlement of restricted stock units</w:t>
            </w:r>
          </w:p>
        </w:tc>
        <w:tc>
          <w:tcPr>
            <w:tcW w:w="9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(670)</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(8,069)</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(8,069)</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(22,231)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(22,231)</w:t>
            </w:r>
          </w:p>
        </w:tc>
        <w:tc>
          <w:tcPr>
            <w:tcW w:w="0" w:type="dxa"/>
            <w:vAlign w:val="bottom"/>
          </w:tcPr>
          <w:p>
            <w:pPr>
              <w:spacing w:after="0"/>
              <w:rPr>
                <w:sz w:val="1"/>
                <w:szCs w:val="1"/>
                <w:color w:val="auto"/>
              </w:rPr>
            </w:pPr>
          </w:p>
        </w:tc>
      </w:tr>
      <w:tr>
        <w:trPr>
          <w:trHeight w:val="118"/>
        </w:trPr>
        <w:tc>
          <w:tcPr>
            <w:tcW w:w="3340" w:type="dxa"/>
            <w:vAlign w:val="bottom"/>
            <w:tcBorders>
              <w:bottom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income (loss), net</w:t>
            </w:r>
          </w:p>
        </w:tc>
        <w:tc>
          <w:tcPr>
            <w:tcW w:w="96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320</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320</w:t>
            </w:r>
          </w:p>
        </w:tc>
        <w:tc>
          <w:tcPr>
            <w:tcW w:w="0" w:type="dxa"/>
            <w:vAlign w:val="bottom"/>
          </w:tcPr>
          <w:p>
            <w:pPr>
              <w:spacing w:after="0"/>
              <w:rPr>
                <w:sz w:val="1"/>
                <w:szCs w:val="1"/>
                <w:color w:val="auto"/>
              </w:rPr>
            </w:pPr>
          </w:p>
        </w:tc>
      </w:tr>
      <w:tr>
        <w:trPr>
          <w:trHeight w:val="109"/>
        </w:trPr>
        <w:tc>
          <w:tcPr>
            <w:tcW w:w="33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2025</w:t>
            </w:r>
          </w:p>
        </w:tc>
        <w:tc>
          <w:tcPr>
            <w:tcW w:w="96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130,857</w:t>
            </w:r>
          </w:p>
        </w:tc>
        <w:tc>
          <w:tcPr>
            <w:tcW w:w="100" w:type="dxa"/>
            <w:vAlign w:val="bottom"/>
          </w:tcPr>
          <w:p>
            <w:pPr>
              <w:spacing w:after="0"/>
              <w:rPr>
                <w:sz w:val="9"/>
                <w:szCs w:val="9"/>
                <w:color w:val="auto"/>
              </w:rPr>
            </w:pPr>
          </w:p>
        </w:tc>
        <w:tc>
          <w:tcPr>
            <w:tcW w:w="820" w:type="dxa"/>
            <w:vAlign w:val="bottom"/>
            <w:tcBorders>
              <w:bottom w:val="single" w:sz="8" w:color="auto"/>
            </w:tcBorders>
          </w:tcPr>
          <w:p>
            <w:pPr>
              <w:jc w:val="right"/>
              <w:ind w:right="70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rPr>
              <w:t>769,213</w:t>
            </w: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326</w:t>
            </w:r>
          </w:p>
        </w:tc>
        <w:tc>
          <w:tcPr>
            <w:tcW w:w="100" w:type="dxa"/>
            <w:vAlign w:val="bottom"/>
          </w:tcPr>
          <w:p>
            <w:pPr>
              <w:spacing w:after="0"/>
              <w:rPr>
                <w:sz w:val="9"/>
                <w:szCs w:val="9"/>
                <w:color w:val="auto"/>
              </w:rPr>
            </w:pPr>
          </w:p>
        </w:tc>
        <w:tc>
          <w:tcPr>
            <w:tcW w:w="1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rPr>
              <w:t>(480,080)</w:t>
            </w:r>
          </w:p>
        </w:tc>
        <w:tc>
          <w:tcPr>
            <w:tcW w:w="100" w:type="dxa"/>
            <w:vAlign w:val="bottom"/>
          </w:tcPr>
          <w:p>
            <w:pPr>
              <w:spacing w:after="0"/>
              <w:rPr>
                <w:sz w:val="9"/>
                <w:szCs w:val="9"/>
                <w:color w:val="auto"/>
              </w:rPr>
            </w:pPr>
          </w:p>
        </w:tc>
        <w:tc>
          <w:tcPr>
            <w:tcW w:w="140" w:type="dxa"/>
            <w:vAlign w:val="bottom"/>
            <w:tcBorders>
              <w:bottom w:val="single" w:sz="8" w:color="auto"/>
            </w:tcBorders>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rPr>
              <w:t>289,460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34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960" w:type="dxa"/>
            <w:vAlign w:val="bottom"/>
            <w:shd w:val="clear" w:color="auto" w:fill="CFF0FC"/>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20" w:type="dxa"/>
            <w:vAlign w:val="bottom"/>
            <w:shd w:val="clear" w:color="auto" w:fill="CFF0FC"/>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00" w:type="dxa"/>
            <w:vAlign w:val="bottom"/>
            <w:shd w:val="clear" w:color="auto" w:fill="CFF0FC"/>
          </w:tcPr>
          <w:p>
            <w:pPr>
              <w:jc w:val="right"/>
              <w:ind w:right="63"/>
              <w:spacing w:after="0" w:line="91" w:lineRule="exact"/>
              <w:rPr>
                <w:sz w:val="20"/>
                <w:szCs w:val="20"/>
                <w:color w:val="auto"/>
              </w:rPr>
            </w:pPr>
            <w:r>
              <w:rPr>
                <w:rFonts w:ascii="Times New Roman" w:cs="Times New Roman" w:eastAsia="Times New Roman" w:hAnsi="Times New Roman"/>
                <w:sz w:val="10"/>
                <w:szCs w:val="10"/>
                <w:color w:val="auto"/>
              </w:rPr>
              <w:t>25,633</w:t>
            </w: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140" w:type="dxa"/>
            <w:vAlign w:val="bottom"/>
            <w:shd w:val="clear" w:color="auto" w:fill="CFF0FC"/>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60" w:type="dxa"/>
            <w:vAlign w:val="bottom"/>
            <w:shd w:val="clear" w:color="auto" w:fill="CFF0FC"/>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060" w:type="dxa"/>
            <w:vAlign w:val="bottom"/>
            <w:shd w:val="clear" w:color="auto" w:fill="CFF0FC"/>
          </w:tcPr>
          <w:p>
            <w:pPr>
              <w:jc w:val="right"/>
              <w:ind w:right="63"/>
              <w:spacing w:after="0" w:line="91" w:lineRule="exact"/>
              <w:rPr>
                <w:sz w:val="20"/>
                <w:szCs w:val="20"/>
                <w:color w:val="auto"/>
              </w:rPr>
            </w:pPr>
            <w:r>
              <w:rPr>
                <w:rFonts w:ascii="Times New Roman" w:cs="Times New Roman" w:eastAsia="Times New Roman" w:hAnsi="Times New Roman"/>
                <w:sz w:val="10"/>
                <w:szCs w:val="10"/>
                <w:color w:val="auto"/>
              </w:rPr>
              <w:t>25,633</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591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591</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208</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1,682</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1,682</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2,347</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Tax withholding on net share settlement of restricted stock units</w:t>
            </w:r>
          </w:p>
        </w:tc>
        <w:tc>
          <w:tcPr>
            <w:tcW w:w="9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(879)</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(10,677)</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(10,677)</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Repurchase of common stock</w:t>
            </w:r>
          </w:p>
        </w:tc>
        <w:tc>
          <w:tcPr>
            <w:tcW w:w="9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(204)</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(2,537)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(2,537)</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(24,668)</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(24,668)</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income (loss), net</w:t>
            </w:r>
          </w:p>
        </w:tc>
        <w:tc>
          <w:tcPr>
            <w:tcW w:w="96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49"/>
        </w:trPr>
        <w:tc>
          <w:tcPr>
            <w:tcW w:w="334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June 30, 2025</w:t>
            </w:r>
          </w:p>
        </w:tc>
        <w:tc>
          <w:tcPr>
            <w:tcW w:w="96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132,478</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70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rPr>
              <w:t>783,905</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346</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rPr>
              <w:t>(504,748)</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FF0FC"/>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rPr>
              <w:t>279,504</w:t>
            </w:r>
          </w:p>
        </w:tc>
        <w:tc>
          <w:tcPr>
            <w:tcW w:w="0" w:type="dxa"/>
            <w:vAlign w:val="bottom"/>
          </w:tcPr>
          <w:p>
            <w:pPr>
              <w:spacing w:after="0"/>
              <w:rPr>
                <w:sz w:val="1"/>
                <w:szCs w:val="1"/>
                <w:color w:val="auto"/>
              </w:rPr>
            </w:pPr>
          </w:p>
        </w:tc>
      </w:tr>
      <w:tr>
        <w:trPr>
          <w:trHeight w:val="90"/>
        </w:trPr>
        <w:tc>
          <w:tcPr>
            <w:tcW w:w="3340" w:type="dxa"/>
            <w:vAlign w:val="bottom"/>
          </w:tcPr>
          <w:p>
            <w:pPr>
              <w:spacing w:after="0" w:line="91"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960" w:type="dxa"/>
            <w:vAlign w:val="bottom"/>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right"/>
              <w:ind w:right="63"/>
              <w:spacing w:after="0" w:line="91" w:lineRule="exact"/>
              <w:rPr>
                <w:sz w:val="20"/>
                <w:szCs w:val="20"/>
                <w:color w:val="auto"/>
              </w:rPr>
            </w:pPr>
            <w:r>
              <w:rPr>
                <w:rFonts w:ascii="Times New Roman" w:cs="Times New Roman" w:eastAsia="Times New Roman" w:hAnsi="Times New Roman"/>
                <w:sz w:val="10"/>
                <w:szCs w:val="10"/>
                <w:color w:val="auto"/>
              </w:rPr>
              <w:t>26,169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right"/>
              <w:ind w:right="43"/>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jc w:val="right"/>
              <w:ind w:right="63"/>
              <w:spacing w:after="0" w:line="91" w:lineRule="exact"/>
              <w:rPr>
                <w:sz w:val="20"/>
                <w:szCs w:val="20"/>
                <w:color w:val="auto"/>
              </w:rPr>
            </w:pPr>
            <w:r>
              <w:rPr>
                <w:rFonts w:ascii="Times New Roman" w:cs="Times New Roman" w:eastAsia="Times New Roman" w:hAnsi="Times New Roman"/>
                <w:sz w:val="10"/>
                <w:szCs w:val="10"/>
                <w:color w:val="auto"/>
              </w:rPr>
              <w:t>26,169</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561</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1,875</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1,875</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in connection with an acquisition</w:t>
            </w: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356</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905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905</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2,298</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Tax withholding on net share settlement of restricted stock units</w:t>
            </w:r>
          </w:p>
        </w:tc>
        <w:tc>
          <w:tcPr>
            <w:tcW w:w="9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(932)</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(10,676)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(10,676)</w:t>
            </w:r>
          </w:p>
        </w:tc>
        <w:tc>
          <w:tcPr>
            <w:tcW w:w="0" w:type="dxa"/>
            <w:vAlign w:val="bottom"/>
          </w:tcPr>
          <w:p>
            <w:pPr>
              <w:spacing w:after="0"/>
              <w:rPr>
                <w:sz w:val="1"/>
                <w:szCs w:val="1"/>
                <w:color w:val="auto"/>
              </w:rPr>
            </w:pPr>
          </w:p>
        </w:tc>
      </w:tr>
      <w:tr>
        <w:trPr>
          <w:trHeight w:val="118"/>
        </w:trPr>
        <w:tc>
          <w:tcPr>
            <w:tcW w:w="33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Repurchase of common stock</w:t>
            </w:r>
          </w:p>
        </w:tc>
        <w:tc>
          <w:tcPr>
            <w:tcW w:w="9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(1,056)</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(11,745)</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(11,745)</w:t>
            </w:r>
          </w:p>
        </w:tc>
        <w:tc>
          <w:tcPr>
            <w:tcW w:w="0" w:type="dxa"/>
            <w:vAlign w:val="bottom"/>
          </w:tcPr>
          <w:p>
            <w:pPr>
              <w:spacing w:after="0"/>
              <w:rPr>
                <w:sz w:val="1"/>
                <w:szCs w:val="1"/>
                <w:color w:val="auto"/>
              </w:rPr>
            </w:pPr>
          </w:p>
        </w:tc>
      </w:tr>
      <w:tr>
        <w:trPr>
          <w:trHeight w:val="118"/>
        </w:trPr>
        <w:tc>
          <w:tcPr>
            <w:tcW w:w="33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(23,986)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(23,986)</w:t>
            </w:r>
          </w:p>
        </w:tc>
        <w:tc>
          <w:tcPr>
            <w:tcW w:w="0" w:type="dxa"/>
            <w:vAlign w:val="bottom"/>
          </w:tcPr>
          <w:p>
            <w:pPr>
              <w:spacing w:after="0"/>
              <w:rPr>
                <w:sz w:val="1"/>
                <w:szCs w:val="1"/>
                <w:color w:val="auto"/>
              </w:rPr>
            </w:pPr>
          </w:p>
        </w:tc>
      </w:tr>
      <w:tr>
        <w:trPr>
          <w:trHeight w:val="118"/>
        </w:trPr>
        <w:tc>
          <w:tcPr>
            <w:tcW w:w="3340" w:type="dxa"/>
            <w:vAlign w:val="bottom"/>
            <w:tcBorders>
              <w:bottom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income (loss), net</w:t>
            </w:r>
          </w:p>
        </w:tc>
        <w:tc>
          <w:tcPr>
            <w:tcW w:w="96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182</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ind w:right="43"/>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ind w:right="63"/>
              <w:spacing w:after="0" w:line="119" w:lineRule="exact"/>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09"/>
        </w:trPr>
        <w:tc>
          <w:tcPr>
            <w:tcW w:w="334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September 30, 2025</w:t>
            </w:r>
          </w:p>
        </w:tc>
        <w:tc>
          <w:tcPr>
            <w:tcW w:w="96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133,705</w:t>
            </w:r>
          </w:p>
        </w:tc>
        <w:tc>
          <w:tcPr>
            <w:tcW w:w="100" w:type="dxa"/>
            <w:vAlign w:val="bottom"/>
          </w:tcPr>
          <w:p>
            <w:pPr>
              <w:spacing w:after="0"/>
              <w:rPr>
                <w:sz w:val="9"/>
                <w:szCs w:val="9"/>
                <w:color w:val="auto"/>
              </w:rPr>
            </w:pPr>
          </w:p>
        </w:tc>
        <w:tc>
          <w:tcPr>
            <w:tcW w:w="820" w:type="dxa"/>
            <w:vAlign w:val="bottom"/>
            <w:tcBorders>
              <w:bottom w:val="single" w:sz="8" w:color="auto"/>
            </w:tcBorders>
          </w:tcPr>
          <w:p>
            <w:pPr>
              <w:jc w:val="right"/>
              <w:ind w:right="70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rPr>
              <w:t>790,433</w:t>
            </w: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rPr>
              <w:t>528</w:t>
            </w:r>
          </w:p>
        </w:tc>
        <w:tc>
          <w:tcPr>
            <w:tcW w:w="100" w:type="dxa"/>
            <w:vAlign w:val="bottom"/>
          </w:tcPr>
          <w:p>
            <w:pPr>
              <w:spacing w:after="0"/>
              <w:rPr>
                <w:sz w:val="9"/>
                <w:szCs w:val="9"/>
                <w:color w:val="auto"/>
              </w:rPr>
            </w:pPr>
          </w:p>
        </w:tc>
        <w:tc>
          <w:tcPr>
            <w:tcW w:w="1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rPr>
              <w:t>(528,734)</w:t>
            </w:r>
          </w:p>
        </w:tc>
        <w:tc>
          <w:tcPr>
            <w:tcW w:w="100" w:type="dxa"/>
            <w:vAlign w:val="bottom"/>
          </w:tcPr>
          <w:p>
            <w:pPr>
              <w:spacing w:after="0"/>
              <w:rPr>
                <w:sz w:val="9"/>
                <w:szCs w:val="9"/>
                <w:color w:val="auto"/>
              </w:rPr>
            </w:pPr>
          </w:p>
        </w:tc>
        <w:tc>
          <w:tcPr>
            <w:tcW w:w="140" w:type="dxa"/>
            <w:vAlign w:val="bottom"/>
            <w:tcBorders>
              <w:bottom w:val="single" w:sz="8" w:color="auto"/>
            </w:tcBorders>
          </w:tcPr>
          <w:p>
            <w:pPr>
              <w:jc w:val="right"/>
              <w:ind w:right="2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63"/>
              <w:spacing w:after="0" w:line="99" w:lineRule="exact"/>
              <w:rPr>
                <w:sz w:val="20"/>
                <w:szCs w:val="20"/>
                <w:color w:val="auto"/>
              </w:rPr>
            </w:pPr>
            <w:r>
              <w:rPr>
                <w:rFonts w:ascii="Times New Roman" w:cs="Times New Roman" w:eastAsia="Times New Roman" w:hAnsi="Times New Roman"/>
                <w:sz w:val="11"/>
                <w:szCs w:val="11"/>
                <w:color w:val="auto"/>
              </w:rPr>
              <w:t>262,228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-1506220</wp:posOffset>
            </wp:positionV>
            <wp:extent cx="615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-1506220</wp:posOffset>
            </wp:positionV>
            <wp:extent cx="615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-1506220</wp:posOffset>
            </wp:positionV>
            <wp:extent cx="615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-1506220</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-1506220</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-721995</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-708660</wp:posOffset>
            </wp:positionV>
            <wp:extent cx="615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-721995</wp:posOffset>
            </wp:positionV>
            <wp:extent cx="615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-708660</wp:posOffset>
            </wp:positionV>
            <wp:extent cx="615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-721995</wp:posOffset>
            </wp:positionV>
            <wp:extent cx="615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-708660</wp:posOffset>
            </wp:positionV>
            <wp:extent cx="615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-721995</wp:posOffset>
            </wp:positionV>
            <wp:extent cx="615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-708660</wp:posOffset>
            </wp:positionV>
            <wp:extent cx="61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-721995</wp:posOffset>
            </wp:positionV>
            <wp:extent cx="615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-708660</wp:posOffset>
            </wp:positionV>
            <wp:extent cx="6159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-101600</wp:posOffset>
            </wp:positionV>
            <wp:extent cx="615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-101600</wp:posOffset>
            </wp:positionV>
            <wp:extent cx="6159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-101600</wp:posOffset>
            </wp:positionV>
            <wp:extent cx="615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-101600</wp:posOffset>
            </wp:positionV>
            <wp:extent cx="615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-101600</wp:posOffset>
            </wp:positionV>
            <wp:extent cx="615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982" w:right="7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provided by (used in) operating activities: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(70,885)</w:t>
            </w:r>
          </w:p>
        </w:tc>
        <w:tc>
          <w:tcPr>
            <w:tcW w:w="1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86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w:t>
            </w: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7,128</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74,467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70,218</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3,332</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Bad debt expense</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905</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(8,533)</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(6,986)</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Other non-current assets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4,538</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7,780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2,936</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21,863</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21,104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16,989</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provided by (used in) investing activities: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from maturities of marketable securities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56,631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41,283</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received from sale of marketable securities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56,844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(100,320)</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Capitalization of internal-use software costs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of bridge loan</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69,578</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(66,826)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Cash flows provided by (used in) financing activities: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3,336</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3,995</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for tax withholding obligations on equity award settlements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3,203</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paid for tax withholding obligations on equity award settlements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(29,120)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(32,530)</w:t>
            </w: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Excise tax paid on share repurchases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acquisition holdback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(112,893)</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(39,614)</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(89,451)</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81,969</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172,559</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59,758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83,108</w:t>
            </w:r>
          </w:p>
        </w:tc>
        <w:tc>
          <w:tcPr>
            <w:tcW w:w="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8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 included in liabilities</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capitalized as internal-use software costs</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1,844</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2,939</w:t>
            </w:r>
          </w:p>
        </w:tc>
        <w:tc>
          <w:tcPr>
            <w:tcW w:w="120" w:type="dxa"/>
            <w:vAlign w:val="bottom"/>
            <w:shd w:val="clear" w:color="auto" w:fill="CFF0FC"/>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 retirement obligations incurred</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-3021965</wp:posOffset>
            </wp:positionV>
            <wp:extent cx="679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-3021965</wp:posOffset>
            </wp:positionV>
            <wp:extent cx="6794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-1910715</wp:posOffset>
            </wp:positionV>
            <wp:extent cx="6794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-1910715</wp:posOffset>
            </wp:positionV>
            <wp:extent cx="6794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-1024255</wp:posOffset>
            </wp:positionV>
            <wp:extent cx="6794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-1024255</wp:posOffset>
            </wp:positionV>
            <wp:extent cx="6794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-798830</wp:posOffset>
            </wp:positionV>
            <wp:extent cx="6794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-798830</wp:posOffset>
            </wp:positionV>
            <wp:extent cx="6794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3" w:lineRule="exact"/>
        <w:rPr>
          <w:sz w:val="20"/>
          <w:szCs w:val="20"/>
          <w:color w:val="auto"/>
        </w:rPr>
      </w:pPr>
    </w:p>
    <w:p>
      <w:pPr>
        <w:ind w:left="980" w:hanging="342"/>
        <w:spacing w:after="0"/>
        <w:tabs>
          <w:tab w:leader="none" w:pos="9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Business and Significant Accounting Policies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01" w:lineRule="exact"/>
        <w:rPr>
          <w:sz w:val="20"/>
          <w:szCs w:val="20"/>
          <w:color w:val="auto"/>
        </w:rPr>
      </w:pPr>
    </w:p>
    <w:p>
      <w:pPr>
        <w:ind w:left="640" w:right="899" w:firstLine="351"/>
        <w:spacing w:after="0" w:line="265" w:lineRule="auto"/>
        <w:rPr>
          <w:sz w:val="20"/>
          <w:szCs w:val="20"/>
          <w:color w:val="auto"/>
        </w:rPr>
      </w:pPr>
      <w:r>
        <w:rPr>
          <w:rFonts w:ascii="Times New Roman" w:cs="Times New Roman" w:eastAsia="Times New Roman" w:hAnsi="Times New Roman"/>
          <w:sz w:val="14"/>
          <w:szCs w:val="14"/>
          <w:color w:val="auto"/>
        </w:rPr>
        <w:t>Amplitude, Inc. (the “Company”) was incorporated in the State of Delaware in 2011 and is headquartered in San Francisco, California. The Company provides an AI-powered platform that helps businesses understand customer behavior, improve digital experiences, and measure the impact of product and marketing decisions. The platform combines analytics, customer feedback, AI agents, experimentation, and feature management to help teams decide what to build or change and test whether those changes improve business results.</w:t>
      </w:r>
    </w:p>
    <w:p>
      <w:pPr>
        <w:spacing w:after="0" w:line="142" w:lineRule="exact"/>
        <w:rPr>
          <w:sz w:val="20"/>
          <w:szCs w:val="20"/>
          <w:color w:val="auto"/>
        </w:rPr>
      </w:pPr>
    </w:p>
    <w:p>
      <w:pPr>
        <w:ind w:left="640" w:right="899" w:firstLine="351"/>
        <w:spacing w:after="0" w:line="268" w:lineRule="auto"/>
        <w:rPr>
          <w:sz w:val="20"/>
          <w:szCs w:val="20"/>
          <w:color w:val="auto"/>
        </w:rPr>
      </w:pPr>
      <w:r>
        <w:rPr>
          <w:rFonts w:ascii="Times New Roman" w:cs="Times New Roman" w:eastAsia="Times New Roman" w:hAnsi="Times New Roman"/>
          <w:sz w:val="14"/>
          <w:szCs w:val="14"/>
          <w:color w:val="auto"/>
        </w:rPr>
        <w:t>The Company provides access to its platform over the Internet through cloud-based subscription software services. The Company’s arrangements with customers do not provide customers with the right to take possession of the software supporting the cloud-based services at any time. The Company also offers customer support related to initial implementation and setup, ongoing support services, and application training.</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01"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The Company has a single operating and reportable segment. The software segment provides customers access to an AI-powered platform through cloud-based subscription software services. The Company derives revenue primarily in the United States and manages the business activities on a consolidated basis. The accounting policies of the software segment are the same as those described in the summary of significant accounting policies.</w:t>
      </w:r>
    </w:p>
    <w:p>
      <w:pPr>
        <w:spacing w:after="0" w:line="140"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chief operating decision maker, who, in the Company’s case, is the Chief Executive Officer (“CEO”), assesses performance for the software segment and decides how to allocate resources based on functional expenses exclusive of stock-based compensation, amortization of acquired intangible assets, acquisition-related costs, restructuring and other related charges, and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research and development, product developments, personnel, and other expenses. The measure of segment assets is reported on the balance sheet as total consolidated assets.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tables set forth operating segment information (in thousands):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0" w:type="dxa"/>
            <w:vAlign w:val="bottom"/>
          </w:tcPr>
          <w:p>
            <w:pPr>
              <w:spacing w:after="0"/>
              <w:rPr>
                <w:sz w:val="14"/>
                <w:szCs w:val="14"/>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110,644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88,564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305,023</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251,788</w:t>
            </w: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9"/>
                <w:szCs w:val="19"/>
                <w:color w:val="auto"/>
                <w:vertAlign w:val="superscript"/>
              </w:rPr>
              <w:t>(1)</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33,611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21,293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86,684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61,204</w:t>
            </w:r>
          </w:p>
        </w:tc>
      </w:tr>
      <w:tr>
        <w:trPr>
          <w:trHeight w:val="172"/>
        </w:trPr>
        <w:tc>
          <w:tcPr>
            <w:tcW w:w="20" w:type="dxa"/>
            <w:vAlign w:val="bottom"/>
          </w:tcPr>
          <w:p>
            <w:pPr>
              <w:spacing w:after="0"/>
              <w:rPr>
                <w:sz w:val="14"/>
                <w:szCs w:val="14"/>
                <w:color w:val="auto"/>
              </w:rPr>
            </w:pPr>
          </w:p>
        </w:tc>
        <w:tc>
          <w:tcPr>
            <w:tcW w:w="398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61,570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47,720</w:t>
            </w:r>
          </w:p>
        </w:tc>
      </w:tr>
      <w:tr>
        <w:trPr>
          <w:trHeight w:val="172"/>
        </w:trPr>
        <w:tc>
          <w:tcPr>
            <w:tcW w:w="20" w:type="dxa"/>
            <w:vAlign w:val="bottom"/>
          </w:tcPr>
          <w:p>
            <w:pPr>
              <w:spacing w:after="0"/>
              <w:rPr>
                <w:sz w:val="14"/>
                <w:szCs w:val="14"/>
                <w:color w:val="auto"/>
              </w:rPr>
            </w:pPr>
          </w:p>
        </w:tc>
        <w:tc>
          <w:tcPr>
            <w:tcW w:w="39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9"/>
                <w:szCs w:val="19"/>
                <w:color w:val="auto"/>
                <w:vertAlign w:val="superscript"/>
              </w:rPr>
              <w:t>(1)</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37,389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37,961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117,959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110,639</w:t>
            </w:r>
          </w:p>
        </w:tc>
      </w:tr>
      <w:tr>
        <w:trPr>
          <w:trHeight w:val="172"/>
        </w:trPr>
        <w:tc>
          <w:tcPr>
            <w:tcW w:w="20" w:type="dxa"/>
            <w:vAlign w:val="bottom"/>
          </w:tcPr>
          <w:p>
            <w:pPr>
              <w:spacing w:after="0"/>
              <w:rPr>
                <w:sz w:val="14"/>
                <w:szCs w:val="14"/>
                <w:color w:val="auto"/>
              </w:rPr>
            </w:pPr>
          </w:p>
        </w:tc>
        <w:tc>
          <w:tcPr>
            <w:tcW w:w="398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36,915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35,250</w:t>
            </w:r>
          </w:p>
        </w:tc>
      </w:tr>
      <w:tr>
        <w:trPr>
          <w:trHeight w:val="172"/>
        </w:trPr>
        <w:tc>
          <w:tcPr>
            <w:tcW w:w="20" w:type="dxa"/>
            <w:vAlign w:val="bottom"/>
          </w:tcPr>
          <w:p>
            <w:pPr>
              <w:spacing w:after="0"/>
              <w:rPr>
                <w:sz w:val="14"/>
                <w:szCs w:val="14"/>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segment expenses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30,273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26,218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85,831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73,918</w:t>
            </w: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(8,317)</w:t>
            </w:r>
          </w:p>
        </w:tc>
      </w:tr>
      <w:tr>
        <w:trPr>
          <w:trHeight w:val="172"/>
        </w:trPr>
        <w:tc>
          <w:tcPr>
            <w:tcW w:w="20" w:type="dxa"/>
            <w:vAlign w:val="bottom"/>
          </w:tcPr>
          <w:p>
            <w:pPr>
              <w:spacing w:after="0"/>
              <w:rPr>
                <w:sz w:val="14"/>
                <w:szCs w:val="14"/>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3,408</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2,259</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loss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(70,885)</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-135890</wp:posOffset>
            </wp:positionV>
            <wp:extent cx="546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-135890</wp:posOffset>
            </wp:positionV>
            <wp:extent cx="5461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-135890</wp:posOffset>
            </wp:positionV>
            <wp:extent cx="546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4" w:lineRule="exact"/>
        <w:rPr>
          <w:sz w:val="20"/>
          <w:szCs w:val="20"/>
          <w:color w:val="auto"/>
        </w:rPr>
      </w:pPr>
    </w:p>
    <w:p>
      <w:pPr>
        <w:ind w:left="980" w:hanging="342"/>
        <w:spacing w:after="0"/>
        <w:tabs>
          <w:tab w:leader="none" w:pos="9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exclude other segment expenses as follows: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8"/>
        </w:trPr>
        <w:tc>
          <w:tcPr>
            <w:tcW w:w="40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Stock-based compensation expense and related employer payroll</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r>
      <w:tr>
        <w:trPr>
          <w:trHeight w:val="18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28,755</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25,744</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76,633</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72,828</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acquired intangible assets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1,090</w:t>
            </w:r>
          </w:p>
        </w:tc>
      </w:tr>
      <w:tr>
        <w:trPr>
          <w:trHeight w:val="17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3,220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segment expenses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30,273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26,218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85,831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73,918</w:t>
            </w: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0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14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 unaudited condensed consolidated balance sheet as of September 30, 2026, included herein, was derived from the unaudited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spacing w:after="0" w:line="144"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These condensed consolidated financial statements should be read in conjunction with the audited consolidated financial statements and notes included in the Company’s Annual Report on Form 10-K for the year ended December 31, 2025 (the “2025 Form 10-K”).</w:t>
      </w:r>
    </w:p>
    <w:p>
      <w:pPr>
        <w:spacing w:after="0" w:line="136"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Certain prior period reported amounts have been reclassified to conform to the 2026 presentation. For the three months ended March 31, 2026, the Company reclassified $0.8 million of restructuring expenses from Sales &amp; marketing and General &amp; administrative to Restructuring and other related charges. This reclassification had no impact on previously reported total operating expenses or net loss for the prior periods.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56" w:lineRule="exact"/>
        <w:rPr>
          <w:sz w:val="20"/>
          <w:szCs w:val="20"/>
          <w:color w:val="auto"/>
        </w:rPr>
      </w:pPr>
    </w:p>
    <w:p>
      <w:pPr>
        <w:ind w:left="1340" w:hanging="352"/>
        <w:spacing w:after="0"/>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period of benefit for deferred commissions;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useful lives of long-lived assets;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goodwill and intangible assets;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measurement, and valuation of deferred tax assets and income tax uncertainties;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borrowing rates used for operating leases.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 and Significant Customers</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2" w:name="page13"/>
    <w:bookmarkEnd w:id="12"/>
    <w:p>
      <w:pPr>
        <w:jc w:val="both"/>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No customer accounted for 10% or more of total revenue for the three and nine months ended September 30, 2026 and 2025. As of September 30, 2026 and December 31, 2025, no customer represented 10% or more of accounts receivable.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01" w:lineRule="exact"/>
        <w:rPr>
          <w:sz w:val="20"/>
          <w:szCs w:val="20"/>
          <w:color w:val="auto"/>
        </w:rPr>
      </w:pPr>
    </w:p>
    <w:p>
      <w:pPr>
        <w:jc w:val="both"/>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The Company's significant accounting policies are described in the 2025 Form 10-K. There have been no significant changes to these policies that have had a material impact on the Company’s condensed consolidated financial statements and related notes for the three and nine months ended September 30, 2026.</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01"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that the adoption of ASU 2024-03 will have on its condensed consolidated financial statements and related disclosures.</w:t>
      </w:r>
    </w:p>
    <w:p>
      <w:pPr>
        <w:spacing w:after="0" w:line="14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 December 2025, the FASB issued ASU 2025-11, Interim Reporting (Topic 270): Narrow-Scope Improvements. The amendments improve the consistency and usability of interim disclosure requirements, clarify the scope and applicability of Topic 270, and establish a disclosure principle requiring entities to disclose material events and changes occurring since the end of the most recent annual reporting period that have a material impact on the entity. The amendments are effective for interim reporting periods within annual reporting periods beginning after December 15, 2027. The amendments may be applied either prospectively or retrospectively, with early adoption permitted. The Company is currently evaluating the impact that the adoption of ASU 2025-11 will have on its condensed consolidated financial statements and related disclosures.</w:t>
      </w:r>
    </w:p>
    <w:p>
      <w:pPr>
        <w:spacing w:after="0" w:line="144"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December 2025, the FASB also issued ASU 2025-12, Codification Improvements, which includes amendments intended to clarify, correct, and improve various topics within the FASB Accounting Standards Codification to enhance its usability and consistency. The amendments are effective for fiscal years beginning after December 15, 2026, including interim periods within those fiscal years, with prospective application permitted. Early adoption is permitted. The Company is currently evaluating the impact that the adoption of ASU 2025-12 will have on its condensed consolidated financial statements and related disclosures.</w:t>
      </w:r>
    </w:p>
    <w:p>
      <w:pPr>
        <w:spacing w:after="0" w:line="226" w:lineRule="exact"/>
        <w:rPr>
          <w:sz w:val="20"/>
          <w:szCs w:val="20"/>
          <w:color w:val="auto"/>
        </w:rPr>
      </w:pPr>
    </w:p>
    <w:p>
      <w:pPr>
        <w:ind w:left="980" w:hanging="342"/>
        <w:spacing w:after="0"/>
        <w:tabs>
          <w:tab w:leader="none" w:pos="98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 and Remaining Performance Obligations</w:t>
      </w:r>
    </w:p>
    <w:p>
      <w:pPr>
        <w:spacing w:after="0" w:line="101" w:lineRule="exact"/>
        <w:rPr>
          <w:sz w:val="20"/>
          <w:szCs w:val="20"/>
          <w:color w:val="auto"/>
        </w:rPr>
      </w:pPr>
    </w:p>
    <w:p>
      <w:pPr>
        <w:ind w:left="640" w:right="879" w:firstLine="351"/>
        <w:spacing w:after="0" w:line="292" w:lineRule="auto"/>
        <w:rPr>
          <w:sz w:val="20"/>
          <w:szCs w:val="20"/>
          <w:color w:val="auto"/>
        </w:rPr>
      </w:pPr>
      <w:r>
        <w:rPr>
          <w:rFonts w:ascii="Times New Roman" w:cs="Times New Roman" w:eastAsia="Times New Roman" w:hAnsi="Times New Roman"/>
          <w:sz w:val="14"/>
          <w:szCs w:val="14"/>
          <w:color w:val="auto"/>
        </w:rPr>
        <w:t>The amount of revenue recognized in the nine months ended September 30, 2026 that was included in deferred revenue as of December 31, 2025 was $114.6 million.</w:t>
      </w:r>
    </w:p>
    <w:p>
      <w:pPr>
        <w:spacing w:after="0" w:line="124"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As of September 30, 2026 and December 31, 2025, unrecognized transaction price related to remaining performance obligations was $496.9 million and $417.7 million, respectively. The Company’s remaining performance obligations as of September 30, 2026 and December 31, 2025 are expected to be recognized as follows (in thousands):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8"/>
        </w:trPr>
        <w:tc>
          <w:tcPr>
            <w:tcW w:w="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Pr>
          <w:p>
            <w:pPr>
              <w:spacing w:after="0"/>
              <w:rPr>
                <w:sz w:val="16"/>
                <w:szCs w:val="16"/>
                <w:color w:val="auto"/>
              </w:rPr>
            </w:pPr>
          </w:p>
        </w:tc>
      </w:tr>
      <w:tr>
        <w:trPr>
          <w:trHeight w:val="163"/>
        </w:trPr>
        <w:tc>
          <w:tcPr>
            <w:tcW w:w="520" w:type="dxa"/>
            <w:vAlign w:val="bottom"/>
          </w:tcPr>
          <w:p>
            <w:pPr>
              <w:spacing w:after="0"/>
              <w:rPr>
                <w:sz w:val="14"/>
                <w:szCs w:val="14"/>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or equal to 12 months</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330,818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267,448</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Greater than 12 months</w:t>
            </w: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166,075</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150,271</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remaining performance obligations</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496,893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417,719</w:t>
            </w:r>
          </w:p>
        </w:tc>
        <w:tc>
          <w:tcPr>
            <w:tcW w:w="520" w:type="dxa"/>
            <w:vAlign w:val="bottom"/>
          </w:tcPr>
          <w:p>
            <w:pPr>
              <w:spacing w:after="0"/>
              <w:rPr>
                <w:sz w:val="17"/>
                <w:szCs w:val="17"/>
                <w:color w:val="auto"/>
              </w:rPr>
            </w:pPr>
          </w:p>
        </w:tc>
      </w:tr>
      <w:tr>
        <w:trPr>
          <w:trHeight w:val="508"/>
        </w:trPr>
        <w:tc>
          <w:tcPr>
            <w:tcW w:w="520" w:type="dxa"/>
            <w:vAlign w:val="bottom"/>
          </w:tcPr>
          <w:p>
            <w:pPr>
              <w:spacing w:after="0"/>
              <w:rPr>
                <w:sz w:val="24"/>
                <w:szCs w:val="24"/>
                <w:color w:val="auto"/>
              </w:rPr>
            </w:pPr>
          </w:p>
        </w:tc>
        <w:tc>
          <w:tcPr>
            <w:tcW w:w="306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jc w:val="right"/>
              <w:ind w:right="50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-756285</wp:posOffset>
            </wp:positionV>
            <wp:extent cx="749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-742950</wp:posOffset>
            </wp:positionV>
            <wp:extent cx="749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shows the Company’s disaggregation of revenue by geographic areas, as determined based on the address of the Company's customers for the three and nine months ended September 30, 2026 and 2025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2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67,016</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54,411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184,114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154,015</w:t>
            </w:r>
          </w:p>
        </w:tc>
      </w:tr>
      <w:tr>
        <w:trPr>
          <w:trHeight w:val="17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43,628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34,153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120,909</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97,773</w:t>
            </w:r>
          </w:p>
        </w:tc>
      </w:tr>
      <w:tr>
        <w:trPr>
          <w:trHeight w:val="18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110,644</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88,564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305,023</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251,788</w:t>
            </w:r>
          </w:p>
        </w:tc>
      </w:tr>
      <w:tr>
        <w:trPr>
          <w:trHeight w:val="20"/>
        </w:trPr>
        <w:tc>
          <w:tcPr>
            <w:tcW w:w="23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-19685</wp:posOffset>
            </wp:positionV>
            <wp:extent cx="546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-6350</wp:posOffset>
            </wp:positionV>
            <wp:extent cx="546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-19685</wp:posOffset>
            </wp:positionV>
            <wp:extent cx="6159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-6350</wp:posOffset>
            </wp:positionV>
            <wp:extent cx="6159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-19685</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-6350</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Deferred Commissions</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Commissions paid upon the initial acquisition of a contract are deferred and then amortized on a straight-line basis over a period of benefit, determined to be five years. Commissions paid for subsequent renewals are amortized over the renewal term. The following table represents a roll forward of the Company’s deferred commissions for the three and nine months ended September 30, 2026 and 2025 (in thousands):</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0" w:type="dxa"/>
            <w:vAlign w:val="bottom"/>
          </w:tcPr>
          <w:p>
            <w:pPr>
              <w:spacing w:after="0"/>
              <w:rPr>
                <w:sz w:val="14"/>
                <w:szCs w:val="14"/>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0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58,248</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47,376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53,515</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42,651</w:t>
            </w:r>
          </w:p>
        </w:tc>
      </w:tr>
      <w:tr>
        <w:trPr>
          <w:trHeight w:val="172"/>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Additions to deferred commissions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19,545</w:t>
            </w:r>
          </w:p>
        </w:tc>
      </w:tr>
      <w:tr>
        <w:trPr>
          <w:trHeight w:val="172"/>
        </w:trPr>
        <w:tc>
          <w:tcPr>
            <w:tcW w:w="20" w:type="dxa"/>
            <w:vAlign w:val="bottom"/>
          </w:tcPr>
          <w:p>
            <w:pPr>
              <w:spacing w:after="0"/>
              <w:rPr>
                <w:sz w:val="14"/>
                <w:szCs w:val="14"/>
                <w:color w:val="auto"/>
              </w:rPr>
            </w:pPr>
          </w:p>
        </w:tc>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 of deferred commissions</w:t>
            </w:r>
          </w:p>
        </w:tc>
        <w:tc>
          <w:tcPr>
            <w:tcW w:w="8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(5,473)</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(15,532)</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(12,559)</w:t>
            </w:r>
          </w:p>
        </w:tc>
      </w:tr>
      <w:tr>
        <w:trPr>
          <w:trHeight w:val="163"/>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61,644</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49,637</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61,644</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49,637</w:t>
            </w:r>
          </w:p>
        </w:tc>
      </w:tr>
      <w:tr>
        <w:trPr>
          <w:trHeight w:val="163"/>
        </w:trPr>
        <w:tc>
          <w:tcPr>
            <w:tcW w:w="20" w:type="dxa"/>
            <w:vAlign w:val="bottom"/>
          </w:tcPr>
          <w:p>
            <w:pPr>
              <w:spacing w:after="0"/>
              <w:rPr>
                <w:sz w:val="14"/>
                <w:szCs w:val="14"/>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commissions, current</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21,066</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17,255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21,066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17,255</w:t>
            </w:r>
          </w:p>
        </w:tc>
      </w:tr>
      <w:tr>
        <w:trPr>
          <w:trHeight w:val="172"/>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Deferred commissions, non-current</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40,578</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32,382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40,578</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32,382</w:t>
            </w:r>
          </w:p>
        </w:tc>
      </w:tr>
      <w:tr>
        <w:trPr>
          <w:trHeight w:val="183"/>
        </w:trPr>
        <w:tc>
          <w:tcPr>
            <w:tcW w:w="20" w:type="dxa"/>
            <w:vAlign w:val="bottom"/>
          </w:tcPr>
          <w:p>
            <w:pPr>
              <w:spacing w:after="0"/>
              <w:rPr>
                <w:sz w:val="15"/>
                <w:szCs w:val="15"/>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deferred commissions</w:t>
            </w: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61,644</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49,637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61,644</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49,637</w:t>
            </w: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-476885</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4107815</wp:posOffset>
            </wp:positionH>
            <wp:positionV relativeFrom="paragraph">
              <wp:posOffset>-476885</wp:posOffset>
            </wp:positionV>
            <wp:extent cx="6794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-476885</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-19685</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-6350</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4107815</wp:posOffset>
            </wp:positionH>
            <wp:positionV relativeFrom="paragraph">
              <wp:posOffset>-19685</wp:posOffset>
            </wp:positionV>
            <wp:extent cx="6794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4107815</wp:posOffset>
            </wp:positionH>
            <wp:positionV relativeFrom="paragraph">
              <wp:posOffset>-6350</wp:posOffset>
            </wp:positionV>
            <wp:extent cx="6794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-19685</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-6350</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53" w:lineRule="exact"/>
        <w:rPr>
          <w:sz w:val="20"/>
          <w:szCs w:val="20"/>
          <w:color w:val="auto"/>
        </w:rPr>
      </w:pPr>
    </w:p>
    <w:p>
      <w:pPr>
        <w:ind w:left="980" w:hanging="342"/>
        <w:spacing w:after="0"/>
        <w:tabs>
          <w:tab w:leader="none" w:pos="9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Balance Sheet Components</w:t>
      </w:r>
    </w:p>
    <w:p>
      <w:pPr>
        <w:spacing w:after="0" w:line="98"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tables show the Company’s financial statement details as of September 30, 2026 and December 31, 2025.</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Cash, cash equivalents, and restricted cash consisted of the following (in thousands):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8"/>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3"/>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58,856</w:t>
            </w: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81,119</w:t>
            </w: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current</w:t>
            </w:r>
          </w:p>
        </w:tc>
        <w:tc>
          <w:tcPr>
            <w:tcW w:w="2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850</w:t>
            </w:r>
          </w:p>
        </w:tc>
      </w:tr>
      <w:tr>
        <w:trPr>
          <w:trHeight w:val="163"/>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59,758</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81,969</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-135890</wp:posOffset>
            </wp:positionV>
            <wp:extent cx="749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8"/>
        </w:trPr>
        <w:tc>
          <w:tcPr>
            <w:tcW w:w="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Pr>
          <w:p>
            <w:pPr>
              <w:spacing w:after="0"/>
              <w:rPr>
                <w:sz w:val="16"/>
                <w:szCs w:val="16"/>
                <w:color w:val="auto"/>
              </w:rPr>
            </w:pPr>
          </w:p>
        </w:tc>
      </w:tr>
      <w:tr>
        <w:trPr>
          <w:trHeight w:val="163"/>
        </w:trPr>
        <w:tc>
          <w:tcPr>
            <w:tcW w:w="5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hosting</w:t>
            </w:r>
          </w:p>
        </w:tc>
        <w:tc>
          <w:tcPr>
            <w:tcW w:w="20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7,069</w:t>
            </w: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8,399</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Other prepaid expenses and other assets</w:t>
            </w: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18,701</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14,460</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0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25,770</w:t>
            </w: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22,859</w:t>
            </w:r>
          </w:p>
        </w:tc>
        <w:tc>
          <w:tcPr>
            <w:tcW w:w="520" w:type="dxa"/>
            <w:vAlign w:val="bottom"/>
          </w:tcPr>
          <w:p>
            <w:pPr>
              <w:spacing w:after="0"/>
              <w:rPr>
                <w:sz w:val="17"/>
                <w:szCs w:val="17"/>
                <w:color w:val="auto"/>
              </w:rPr>
            </w:pPr>
          </w:p>
        </w:tc>
      </w:tr>
      <w:tr>
        <w:trPr>
          <w:trHeight w:val="508"/>
        </w:trPr>
        <w:tc>
          <w:tcPr>
            <w:tcW w:w="520" w:type="dxa"/>
            <w:vAlign w:val="bottom"/>
          </w:tcPr>
          <w:p>
            <w:pPr>
              <w:spacing w:after="0"/>
              <w:rPr>
                <w:sz w:val="24"/>
                <w:szCs w:val="24"/>
                <w:color w:val="auto"/>
              </w:rPr>
            </w:pPr>
          </w:p>
        </w:tc>
        <w:tc>
          <w:tcPr>
            <w:tcW w:w="324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968"/>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-756285</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-742950</wp:posOffset>
            </wp:positionV>
            <wp:extent cx="476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2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8"/>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3"/>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hosting</w:t>
            </w:r>
          </w:p>
        </w:tc>
        <w:tc>
          <w:tcPr>
            <w:tcW w:w="2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3,791</w:t>
            </w: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3,289</w:t>
            </w: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Accrued commission and bonus</w:t>
            </w:r>
          </w:p>
        </w:tc>
        <w:tc>
          <w:tcPr>
            <w:tcW w:w="2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12,749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17,457</w:t>
            </w:r>
          </w:p>
        </w:tc>
      </w:tr>
      <w:tr>
        <w:trPr>
          <w:trHeight w:val="172"/>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payroll and employee related taxes</w:t>
            </w:r>
          </w:p>
        </w:tc>
        <w:tc>
          <w:tcPr>
            <w:tcW w:w="2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5,714</w:t>
            </w: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3,542</w:t>
            </w: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2021 Employee Stock Purchase Plan withholding</w:t>
            </w:r>
          </w:p>
        </w:tc>
        <w:tc>
          <w:tcPr>
            <w:tcW w:w="2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1,284</w:t>
            </w:r>
          </w:p>
        </w:tc>
      </w:tr>
      <w:tr>
        <w:trPr>
          <w:trHeight w:val="172"/>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4,808</w:t>
            </w: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2,686</w:t>
            </w: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Customer refunds and credits</w:t>
            </w:r>
          </w:p>
        </w:tc>
        <w:tc>
          <w:tcPr>
            <w:tcW w:w="2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1,421</w:t>
            </w:r>
          </w:p>
        </w:tc>
      </w:tr>
      <w:tr>
        <w:trPr>
          <w:trHeight w:val="172"/>
        </w:trPr>
        <w:tc>
          <w:tcPr>
            <w:tcW w:w="20" w:type="dxa"/>
            <w:vAlign w:val="bottom"/>
          </w:tcPr>
          <w:p>
            <w:pPr>
              <w:spacing w:after="0"/>
              <w:rPr>
                <w:sz w:val="14"/>
                <w:szCs w:val="14"/>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Non-income tax liabilities</w:t>
            </w:r>
          </w:p>
        </w:tc>
        <w:tc>
          <w:tcPr>
            <w:tcW w:w="2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1,410</w:t>
            </w: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1,389</w:t>
            </w: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Accrued services</w:t>
            </w:r>
          </w:p>
        </w:tc>
        <w:tc>
          <w:tcPr>
            <w:tcW w:w="2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10,028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4,840</w:t>
            </w:r>
          </w:p>
        </w:tc>
      </w:tr>
      <w:tr>
        <w:trPr>
          <w:trHeight w:val="172"/>
        </w:trPr>
        <w:tc>
          <w:tcPr>
            <w:tcW w:w="20" w:type="dxa"/>
            <w:vAlign w:val="bottom"/>
          </w:tcPr>
          <w:p>
            <w:pPr>
              <w:spacing w:after="0"/>
              <w:rPr>
                <w:sz w:val="14"/>
                <w:szCs w:val="14"/>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3,216</w:t>
            </w:r>
          </w:p>
        </w:tc>
        <w:tc>
          <w:tcPr>
            <w:tcW w:w="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1,216</w:t>
            </w:r>
          </w:p>
        </w:tc>
      </w:tr>
      <w:tr>
        <w:trPr>
          <w:trHeight w:val="163"/>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280" w:type="dxa"/>
            <w:vAlign w:val="bottom"/>
          </w:tcPr>
          <w:p>
            <w:pPr>
              <w:jc w:val="right"/>
              <w:ind w:right="159"/>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45,582</w:t>
            </w:r>
          </w:p>
        </w:tc>
        <w:tc>
          <w:tcPr>
            <w:tcW w:w="3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37,124</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4415155</wp:posOffset>
            </wp:positionH>
            <wp:positionV relativeFrom="paragraph">
              <wp:posOffset>-135890</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75" w:lineRule="exact"/>
        <w:rPr>
          <w:sz w:val="20"/>
          <w:szCs w:val="20"/>
          <w:color w:val="auto"/>
        </w:rPr>
      </w:pPr>
    </w:p>
    <w:p>
      <w:pPr>
        <w:ind w:left="980" w:hanging="342"/>
        <w:spacing w:after="0"/>
        <w:tabs>
          <w:tab w:leader="none" w:pos="9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99"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summarizes, for financial assets measured at fair value, the respective fair value and classification by level of input within the fair value hierarchy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28"/>
              <w:spacing w:after="0" w:line="14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28"/>
              <w:spacing w:after="0" w:line="14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tcPr>
          <w:p>
            <w:pPr>
              <w:spacing w:after="0" w:line="214" w:lineRule="exact"/>
              <w:rPr>
                <w:sz w:val="20"/>
                <w:szCs w:val="20"/>
                <w:color w:val="auto"/>
              </w:rPr>
            </w:pPr>
            <w:r>
              <w:rPr>
                <w:rFonts w:ascii="Times New Roman" w:cs="Times New Roman" w:eastAsia="Times New Roman" w:hAnsi="Times New Roman"/>
                <w:sz w:val="14"/>
                <w:szCs w:val="14"/>
                <w:b w:val="1"/>
                <w:bCs w:val="1"/>
                <w:color w:val="auto"/>
              </w:rPr>
              <w:t>Cash equivalents</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20,052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20,052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tcPr>
          <w:p>
            <w:pPr>
              <w:spacing w:after="0" w:line="214" w:lineRule="exact"/>
              <w:rPr>
                <w:sz w:val="20"/>
                <w:szCs w:val="20"/>
                <w:color w:val="auto"/>
              </w:rPr>
            </w:pPr>
            <w:r>
              <w:rPr>
                <w:rFonts w:ascii="Times New Roman" w:cs="Times New Roman" w:eastAsia="Times New Roman" w:hAnsi="Times New Roman"/>
                <w:sz w:val="14"/>
                <w:szCs w:val="14"/>
                <w:b w:val="1"/>
                <w:bCs w:val="1"/>
                <w:color w:val="auto"/>
              </w:rPr>
              <w:t>Cash equivalents</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 governmental and agency securities</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U.S. governmental and agency securities</w:t>
            </w: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94,648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94,314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116,818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28"/>
              <w:spacing w:after="0" w:line="14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28"/>
              <w:spacing w:after="0" w:line="14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0"/>
        </w:trPr>
        <w:tc>
          <w:tcPr>
            <w:tcW w:w="3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00" w:type="dxa"/>
            <w:vAlign w:val="bottom"/>
          </w:tcPr>
          <w:p>
            <w:pPr>
              <w:spacing w:after="0" w:line="214" w:lineRule="exact"/>
              <w:rPr>
                <w:sz w:val="20"/>
                <w:szCs w:val="20"/>
                <w:color w:val="auto"/>
              </w:rPr>
            </w:pPr>
            <w:r>
              <w:rPr>
                <w:rFonts w:ascii="Times New Roman" w:cs="Times New Roman" w:eastAsia="Times New Roman" w:hAnsi="Times New Roman"/>
                <w:sz w:val="14"/>
                <w:szCs w:val="14"/>
                <w:b w:val="1"/>
                <w:bCs w:val="1"/>
                <w:color w:val="auto"/>
              </w:rPr>
              <w:t>Cash equivalents</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44,348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44,348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U.S. governmental and agency securities</w:t>
            </w: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170,836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171,425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215,184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-2468245</wp:posOffset>
            </wp:positionV>
            <wp:extent cx="4909820" cy="1092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-2031365</wp:posOffset>
            </wp:positionV>
            <wp:extent cx="4909820" cy="1092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-1485900</wp:posOffset>
            </wp:positionV>
            <wp:extent cx="6794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-1485900</wp:posOffset>
            </wp:positionV>
            <wp:extent cx="6794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-1485900</wp:posOffset>
            </wp:positionV>
            <wp:extent cx="6794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-681355</wp:posOffset>
            </wp:positionV>
            <wp:extent cx="4909820" cy="1092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-135890</wp:posOffset>
            </wp:positionV>
            <wp:extent cx="6794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-135890</wp:posOffset>
            </wp:positionV>
            <wp:extent cx="6794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-135890</wp:posOffset>
            </wp:positionV>
            <wp:extent cx="6794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34" w:lineRule="exact"/>
        <w:rPr>
          <w:sz w:val="20"/>
          <w:szCs w:val="20"/>
          <w:color w:val="auto"/>
        </w:rPr>
      </w:pPr>
    </w:p>
    <w:p>
      <w:pPr>
        <w:ind w:left="900" w:right="719" w:hanging="262"/>
        <w:spacing w:after="0" w:line="264" w:lineRule="auto"/>
        <w:tabs>
          <w:tab w:leader="none" w:pos="9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as “Cash and cash equivalents” on the Company’s condensed consolidated balance sheets as of September 30, 2026 and December 31, 2025, in addition to cash of $37.8 million and $36.8 million, respectively.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5" w:name="page16"/>
    <w:bookmarkEnd w:id="15"/>
    <w:p>
      <w:pPr>
        <w:ind w:left="640" w:right="959" w:firstLine="351"/>
        <w:spacing w:after="0" w:line="274" w:lineRule="auto"/>
        <w:rPr>
          <w:sz w:val="20"/>
          <w:szCs w:val="20"/>
          <w:color w:val="auto"/>
        </w:rPr>
      </w:pPr>
      <w:r>
        <w:rPr>
          <w:rFonts w:ascii="Times New Roman" w:cs="Times New Roman" w:eastAsia="Times New Roman" w:hAnsi="Times New Roman"/>
          <w:sz w:val="14"/>
          <w:szCs w:val="14"/>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136"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The fair value of the Company's available-for-sale securities as of September 30, 2026, by remaining contractual maturities, was as follows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8"/>
        </w:trPr>
        <w:tc>
          <w:tcPr>
            <w:tcW w:w="3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6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Due in one year or less</w:t>
            </w:r>
          </w:p>
        </w:tc>
        <w:tc>
          <w:tcPr>
            <w:tcW w:w="2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81,660</w:t>
            </w:r>
          </w:p>
        </w:tc>
      </w:tr>
      <w:tr>
        <w:trPr>
          <w:trHeight w:val="17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Due in greater than one year</w:t>
            </w: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13,771</w:t>
            </w:r>
          </w:p>
        </w:tc>
      </w:tr>
      <w:tr>
        <w:trPr>
          <w:trHeight w:val="18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2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95,431</w:t>
            </w: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r>
    </w:tbl>
    <w:p>
      <w:pPr>
        <w:spacing w:after="0" w:line="112" w:lineRule="exact"/>
        <w:rPr>
          <w:sz w:val="20"/>
          <w:szCs w:val="20"/>
          <w:color w:val="auto"/>
        </w:rPr>
      </w:pPr>
    </w:p>
    <w:p>
      <w:pPr>
        <w:ind w:left="980" w:hanging="342"/>
        <w:spacing w:after="0"/>
        <w:tabs>
          <w:tab w:leader="none" w:pos="98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 and Intangible Assets</w:t>
      </w:r>
    </w:p>
    <w:p>
      <w:pPr>
        <w:spacing w:after="0" w:line="185"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On January 14, 2026 (the "Acquisition Date"), the Company completed the acquisition of InfiniGrow Ltd. ("InfiniGrow"), a privately-held AI marketing analytics company, by acquiring all of its outstanding capital stock for total consideration of $0.2 million in cash. Prior to the acquisition, the Company had provided InfiniGrow with short-term financing through two bridge loan agreements executed in December 2025 and January 2026, with an aggregate outstanding balance (including accrued interest) of $0.4 million at the time of closing. Upon completion of the acquisition, the outstanding bridge loan balances were settled as a preexisting relationship. In connection with the acquisition, which was accounted for as a business combination, the Company recognized $2.0 million of developed technology intangible assets that will be amortized over an estimated useful life of three years. Additionally, the Company agreed to grant equity awards to key employees of InfiniGrow under its equity incentive plan, with an aggregate target value of $6.5 million to be recognized as compensation expense over the requisite service period.</w:t>
      </w:r>
    </w:p>
    <w:p>
      <w:pPr>
        <w:spacing w:after="0" w:line="149" w:lineRule="exact"/>
        <w:rPr>
          <w:sz w:val="20"/>
          <w:szCs w:val="20"/>
          <w:color w:val="auto"/>
        </w:rPr>
      </w:pPr>
    </w:p>
    <w:p>
      <w:pPr>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InfiniGrow is an AI marketing analytics company that helps organizations measure, forecast, and optimize the impact of marketing on revenue. The acquisition reinforces the Company's focus on making analytics actionable and helping marketers move faster, make smarter decisions, and drive business outcomes from a single platform.</w:t>
      </w:r>
    </w:p>
    <w:p>
      <w:pPr>
        <w:spacing w:after="0" w:line="136"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On May 1, 2026, the Company entered into an agreement with Statsig, LLC ("Statsig"), pursuant to which the Company acquired certain assets related to Statsig's customer contracts, including customer relationships, order backlog, the Statsig trade name, and a perpetual non-exclusive license to use certain proprietary technology. In connection with the transaction, the Company assumed the remaining performance obligations associated with the acquired customer contracts and acquired related accounts receivable.</w:t>
      </w:r>
    </w:p>
    <w:p>
      <w:pPr>
        <w:spacing w:after="0" w:line="140"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transaction was accounted for as an asset acquisition in accordance with ASC 805-50, Business Combinations, as the acquired set of assets did not meet the definition of a business under ASC 805. Accordingly, no goodwill was recognized.</w:t>
      </w:r>
    </w:p>
    <w:p>
      <w:pPr>
        <w:spacing w:after="0" w:line="124"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auto"/>
        </w:rPr>
        <w:t>The aggregate fair values of the identifiable intangible assets acquired which exceeded the liabilities assumed were allocated to the individual assets on a relative fair value basis. The allocation of the acquisition date fair values was as follows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5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 and Liabilities acquired:</w:t>
            </w:r>
          </w:p>
        </w:tc>
        <w:tc>
          <w:tcPr>
            <w:tcW w:w="3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r>
      <w:tr>
        <w:trPr>
          <w:trHeight w:val="172"/>
        </w:trPr>
        <w:tc>
          <w:tcPr>
            <w:tcW w:w="5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9,393</w:t>
            </w:r>
          </w:p>
        </w:tc>
      </w:tr>
      <w:tr>
        <w:trPr>
          <w:trHeight w:val="172"/>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8,721</w:t>
            </w:r>
          </w:p>
        </w:tc>
      </w:tr>
      <w:tr>
        <w:trPr>
          <w:trHeight w:val="186"/>
        </w:trPr>
        <w:tc>
          <w:tcPr>
            <w:tcW w:w="5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(17,920)</w:t>
            </w:r>
          </w:p>
        </w:tc>
      </w:tr>
    </w:tbl>
    <w:p>
      <w:pPr>
        <w:spacing w:after="0" w:line="143"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The Company recognized $8.7 million of identifiable intangible assets consisting of customer relationships, order backlog, developed technology, and trade name. These intangible assets are amortized on a straight-line basis over their estimated useful lives ranging from one to five years. The fair values of the acquired intangible assets were determined using income-based valuation methodologies and represent Level 3 fair value measurements under ASC 820.</w:t>
      </w:r>
    </w:p>
    <w:p>
      <w:pPr>
        <w:spacing w:after="0" w:line="140" w:lineRule="exact"/>
        <w:rPr>
          <w:sz w:val="20"/>
          <w:szCs w:val="20"/>
          <w:color w:val="auto"/>
        </w:rPr>
      </w:pPr>
    </w:p>
    <w:p>
      <w:pPr>
        <w:jc w:val="both"/>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Statsig is a software-as-a-service ("SaaS") platform that provides experimentation, feature management, and product analytics capabilities. The transaction provides the Company with technology rights and intangible assets that complement its existing product analytics offerings and expand its experimentation and feature management capabilities.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Other Than Goodwill</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Intangible assets, net consisted of the following (in thousands):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As of September 30, 2026</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780" w:type="dxa"/>
            <w:vAlign w:val="bottom"/>
            <w:tcBorders>
              <w:bottom w:val="single" w:sz="8" w:color="auto"/>
            </w:tcBorders>
          </w:tcPr>
          <w:p>
            <w:pPr>
              <w:spacing w:after="0"/>
              <w:rPr>
                <w:sz w:val="14"/>
                <w:szCs w:val="14"/>
                <w:color w:val="auto"/>
              </w:rPr>
            </w:pPr>
          </w:p>
        </w:tc>
      </w:tr>
      <w:tr>
        <w:trPr>
          <w:trHeight w:val="142"/>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6"/>
              <w:spacing w:after="0" w:line="14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56"/>
              <w:spacing w:after="0" w:line="142"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40" w:type="dxa"/>
            <w:vAlign w:val="bottom"/>
          </w:tcPr>
          <w:p>
            <w:pPr>
              <w:spacing w:after="0"/>
              <w:rPr>
                <w:sz w:val="12"/>
                <w:szCs w:val="12"/>
                <w:color w:val="auto"/>
              </w:rPr>
            </w:pPr>
          </w:p>
        </w:tc>
        <w:tc>
          <w:tcPr>
            <w:tcW w:w="780" w:type="dxa"/>
            <w:vAlign w:val="bottom"/>
          </w:tcPr>
          <w:p>
            <w:pPr>
              <w:jc w:val="center"/>
              <w:ind w:right="76"/>
              <w:spacing w:after="0" w:line="14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96"/>
              <w:spacing w:after="0" w:line="142" w:lineRule="exact"/>
              <w:rPr>
                <w:sz w:val="20"/>
                <w:szCs w:val="20"/>
                <w:color w:val="auto"/>
              </w:rPr>
            </w:pPr>
            <w:r>
              <w:rPr>
                <w:rFonts w:ascii="Times New Roman" w:cs="Times New Roman" w:eastAsia="Times New Roman" w:hAnsi="Times New Roman"/>
                <w:sz w:val="13"/>
                <w:szCs w:val="13"/>
                <w:b w:val="1"/>
                <w:bCs w:val="1"/>
                <w:color w:val="auto"/>
                <w:w w:val="92"/>
              </w:rPr>
              <w:t>Net</w:t>
            </w:r>
          </w:p>
        </w:tc>
      </w:tr>
      <w:tr>
        <w:trPr>
          <w:trHeight w:val="161"/>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40" w:type="dxa"/>
            <w:vAlign w:val="bottom"/>
          </w:tcPr>
          <w:p>
            <w:pPr>
              <w:spacing w:after="0"/>
              <w:rPr>
                <w:sz w:val="14"/>
                <w:szCs w:val="14"/>
                <w:color w:val="auto"/>
              </w:rPr>
            </w:pPr>
          </w:p>
        </w:tc>
        <w:tc>
          <w:tcPr>
            <w:tcW w:w="78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Carrying</w:t>
            </w:r>
          </w:p>
        </w:tc>
      </w:tr>
      <w:tr>
        <w:trPr>
          <w:trHeight w:val="171"/>
        </w:trPr>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4"/>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Developed technology</w:t>
            </w: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19,885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(8,823)</w:t>
            </w:r>
          </w:p>
        </w:tc>
        <w:tc>
          <w:tcPr>
            <w:tcW w:w="22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rPr>
              <w:t>11,062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12,798</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(6,838)</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5,959</w:t>
            </w:r>
          </w:p>
        </w:tc>
      </w:tr>
      <w:tr>
        <w:trPr>
          <w:trHeight w:val="161"/>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Customer related</w:t>
            </w:r>
          </w:p>
        </w:tc>
        <w:tc>
          <w:tcPr>
            <w:tcW w:w="14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3,953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2,241</w:t>
            </w: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417</w:t>
            </w:r>
          </w:p>
        </w:tc>
      </w:tr>
      <w:tr>
        <w:trPr>
          <w:trHeight w:val="161"/>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Trade name</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tcBorders>
              <w:right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rPr>
              <w:t>164</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Order backlog</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1,020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877</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25,231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(10,887)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rPr>
              <w:t>14,344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14,519</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(8,142)</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6,376</w:t>
            </w:r>
          </w:p>
        </w:tc>
      </w:tr>
      <w:tr>
        <w:trPr>
          <w:trHeight w:val="20"/>
        </w:trPr>
        <w:tc>
          <w:tcPr>
            <w:tcW w:w="1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-19685</wp:posOffset>
            </wp:positionV>
            <wp:extent cx="5461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-6350</wp:posOffset>
            </wp:positionV>
            <wp:extent cx="5461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-19685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-6350</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-19685</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-6350</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-19685</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-6350</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-19685</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-6350</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Amortization expense of intangible assets was $1.2 million and $2.7 million for the three and nine months ended September 30, 2026, respectively, and $0.5 million and $1.1 million for the three and nine months ended September 30, 2025, respectively.</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As of September 30, 2026, future amortization expense is expected to be as follows (in thousands):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Expected Future</w:t>
            </w:r>
          </w:p>
        </w:tc>
      </w:tr>
      <w:tr>
        <w:trPr>
          <w:trHeight w:val="188"/>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6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Remainder of 2026</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1,216</w:t>
            </w:r>
          </w:p>
        </w:tc>
      </w:tr>
      <w:tr>
        <w:trPr>
          <w:trHeight w:val="172"/>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tcPr>
          <w:p>
            <w:pPr>
              <w:spacing w:after="0"/>
              <w:rPr>
                <w:sz w:val="14"/>
                <w:szCs w:val="14"/>
                <w:color w:val="auto"/>
              </w:rPr>
            </w:pPr>
          </w:p>
        </w:tc>
        <w:tc>
          <w:tcPr>
            <w:tcW w:w="1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4,594</w:t>
            </w:r>
          </w:p>
        </w:tc>
      </w:tr>
      <w:tr>
        <w:trPr>
          <w:trHeight w:val="172"/>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shd w:val="clear" w:color="auto" w:fill="CFF0FC"/>
          </w:tcPr>
          <w:p>
            <w:pPr>
              <w:spacing w:after="0"/>
              <w:rPr>
                <w:sz w:val="14"/>
                <w:szCs w:val="14"/>
                <w:color w:val="auto"/>
              </w:rPr>
            </w:pPr>
          </w:p>
        </w:tc>
        <w:tc>
          <w:tcPr>
            <w:tcW w:w="1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4,237</w:t>
            </w:r>
          </w:p>
        </w:tc>
      </w:tr>
      <w:tr>
        <w:trPr>
          <w:trHeight w:val="172"/>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4"/>
                <w:szCs w:val="14"/>
                <w:color w:val="auto"/>
              </w:rPr>
            </w:pPr>
          </w:p>
        </w:tc>
        <w:tc>
          <w:tcPr>
            <w:tcW w:w="1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2,644</w:t>
            </w:r>
          </w:p>
        </w:tc>
      </w:tr>
      <w:tr>
        <w:trPr>
          <w:trHeight w:val="172"/>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2030</w:t>
            </w:r>
          </w:p>
        </w:tc>
        <w:tc>
          <w:tcPr>
            <w:tcW w:w="160" w:type="dxa"/>
            <w:vAlign w:val="bottom"/>
            <w:shd w:val="clear" w:color="auto" w:fill="CFF0FC"/>
          </w:tcPr>
          <w:p>
            <w:pPr>
              <w:spacing w:after="0"/>
              <w:rPr>
                <w:sz w:val="14"/>
                <w:szCs w:val="14"/>
                <w:color w:val="auto"/>
              </w:rPr>
            </w:pPr>
          </w:p>
        </w:tc>
        <w:tc>
          <w:tcPr>
            <w:tcW w:w="1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1,318</w:t>
            </w:r>
          </w:p>
        </w:tc>
      </w:tr>
      <w:tr>
        <w:trPr>
          <w:trHeight w:val="172"/>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2031</w:t>
            </w: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r>
      <w:tr>
        <w:trPr>
          <w:trHeight w:val="203"/>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14,344</w:t>
            </w:r>
          </w:p>
        </w:tc>
      </w:tr>
    </w:tbl>
    <w:p>
      <w:pPr>
        <w:spacing w:after="0" w:line="273"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(6)</w:t>
        <w:tab/>
        <w:t>Stockholders’ Equity and Equity Incentive Plans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01" w:lineRule="exact"/>
        <w:rPr>
          <w:sz w:val="20"/>
          <w:szCs w:val="20"/>
          <w:color w:val="auto"/>
        </w:rPr>
      </w:pPr>
    </w:p>
    <w:p>
      <w:pPr>
        <w:ind w:left="640" w:right="699" w:firstLine="351"/>
        <w:spacing w:after="0" w:line="267" w:lineRule="auto"/>
        <w:rPr>
          <w:sz w:val="20"/>
          <w:szCs w:val="20"/>
          <w:color w:val="auto"/>
        </w:rPr>
      </w:pPr>
      <w:r>
        <w:rPr>
          <w:rFonts w:ascii="Times New Roman" w:cs="Times New Roman" w:eastAsia="Times New Roman" w:hAnsi="Times New Roman"/>
          <w:sz w:val="14"/>
          <w:szCs w:val="14"/>
          <w:color w:val="auto"/>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01"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p>
    <w:p>
      <w:pPr>
        <w:spacing w:after="0" w:line="14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two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7" w:name="page18"/>
    <w:bookmarkEnd w:id="17"/>
    <w:p>
      <w:pPr>
        <w:ind w:left="640" w:right="699"/>
        <w:spacing w:after="0" w:line="292" w:lineRule="auto"/>
        <w:rPr>
          <w:sz w:val="20"/>
          <w:szCs w:val="20"/>
          <w:color w:val="auto"/>
        </w:rPr>
      </w:pPr>
      <w:r>
        <w:rPr>
          <w:rFonts w:ascii="Times New Roman" w:cs="Times New Roman" w:eastAsia="Times New Roman" w:hAnsi="Times New Roman"/>
          <w:sz w:val="14"/>
          <w:szCs w:val="14"/>
          <w:color w:val="auto"/>
        </w:rPr>
        <w:t>of such shares of Class B common stock to Class A common stock. Once converted into Class A common stock, the Class B common stock may not be reissued.</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Company has reserved shares of its common stock as follows:</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28"/>
        </w:trPr>
        <w:tc>
          <w:tcPr>
            <w:tcW w:w="4720" w:type="dxa"/>
            <w:vAlign w:val="bottom"/>
          </w:tcPr>
          <w:p>
            <w:pPr>
              <w:spacing w:after="0"/>
              <w:rPr>
                <w:sz w:val="24"/>
                <w:szCs w:val="24"/>
                <w:color w:val="auto"/>
              </w:rPr>
            </w:pP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24"/>
                <w:szCs w:val="24"/>
                <w:color w:val="auto"/>
              </w:rPr>
            </w:pPr>
          </w:p>
        </w:tc>
        <w:tc>
          <w:tcPr>
            <w:tcW w:w="13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8"/>
        </w:trPr>
        <w:tc>
          <w:tcPr>
            <w:tcW w:w="4720" w:type="dxa"/>
            <w:vAlign w:val="bottom"/>
          </w:tcPr>
          <w:p>
            <w:pPr>
              <w:spacing w:after="0"/>
              <w:rPr>
                <w:sz w:val="16"/>
                <w:szCs w:val="16"/>
                <w:color w:val="auto"/>
              </w:rPr>
            </w:pPr>
          </w:p>
        </w:tc>
        <w:tc>
          <w:tcPr>
            <w:tcW w:w="1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2014 Stock Option and Grant Plan and 2021 Incentive Award Plan:</w:t>
            </w: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72"/>
        </w:trPr>
        <w:tc>
          <w:tcPr>
            <w:tcW w:w="47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 plan stock options outstanding</w:t>
            </w: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8,503,914</w:t>
            </w:r>
          </w:p>
        </w:tc>
        <w:tc>
          <w:tcPr>
            <w:tcW w:w="1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9,855,901</w:t>
            </w:r>
          </w:p>
        </w:tc>
      </w:tr>
      <w:tr>
        <w:trPr>
          <w:trHeight w:val="172"/>
        </w:trPr>
        <w:tc>
          <w:tcPr>
            <w:tcW w:w="4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RSUs outstanding</w:t>
            </w:r>
          </w:p>
        </w:tc>
        <w:tc>
          <w:tcPr>
            <w:tcW w:w="15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20,442,718</w:t>
            </w:r>
          </w:p>
        </w:tc>
        <w:tc>
          <w:tcPr>
            <w:tcW w:w="14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14,049,044</w:t>
            </w:r>
          </w:p>
        </w:tc>
      </w:tr>
      <w:tr>
        <w:trPr>
          <w:trHeight w:val="172"/>
        </w:trPr>
        <w:tc>
          <w:tcPr>
            <w:tcW w:w="47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available for future issuance</w:t>
            </w: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14,656,065</w:t>
            </w:r>
          </w:p>
        </w:tc>
        <w:tc>
          <w:tcPr>
            <w:tcW w:w="14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19,038,398</w:t>
            </w:r>
          </w:p>
        </w:tc>
      </w:tr>
      <w:tr>
        <w:trPr>
          <w:trHeight w:val="172"/>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2021 Employee Stock Purchase Plan:</w:t>
            </w: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72"/>
        </w:trPr>
        <w:tc>
          <w:tcPr>
            <w:tcW w:w="47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available for future issuance</w:t>
            </w: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6,544,822</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5,649,309</w:t>
            </w:r>
          </w:p>
        </w:tc>
      </w:tr>
      <w:tr>
        <w:trPr>
          <w:trHeight w:val="203"/>
        </w:trPr>
        <w:tc>
          <w:tcPr>
            <w:tcW w:w="4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reserved shares</w:t>
            </w:r>
          </w:p>
        </w:tc>
        <w:tc>
          <w:tcPr>
            <w:tcW w:w="15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50,147,519</w:t>
            </w:r>
          </w:p>
        </w:tc>
        <w:tc>
          <w:tcPr>
            <w:tcW w:w="1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48,592,652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-19685</wp:posOffset>
            </wp:positionV>
            <wp:extent cx="546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-6350</wp:posOffset>
            </wp:positionV>
            <wp:extent cx="546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2014 Stock Option and Grant Plan</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2021 Incentive Award Plan</w:t>
      </w:r>
    </w:p>
    <w:p>
      <w:pPr>
        <w:spacing w:after="0" w:line="99"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September 30, 2026, a total of 14,656,065 shares of the Company's Class A common stock were available for future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Stock Option Awards</w:t>
      </w:r>
    </w:p>
    <w:p>
      <w:pPr>
        <w:spacing w:after="0" w:line="99"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Stock options granted under the 2014 Plan and the 2021 Plan (collectively, the “combined stock plans”) generally vest based on continued service over four years.</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Option activity under the combined stock plans for the nine months ended September 30, 2026 is set forth below: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8" w:name="page19"/>
    <w:bookmarkEnd w:id="18"/>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 (in</w:t>
            </w:r>
          </w:p>
        </w:tc>
      </w:tr>
      <w:tr>
        <w:trPr>
          <w:trHeight w:val="188"/>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63"/>
        </w:trPr>
        <w:tc>
          <w:tcPr>
            <w:tcW w:w="20" w:type="dxa"/>
            <w:vAlign w:val="bottom"/>
          </w:tcPr>
          <w:p>
            <w:pPr>
              <w:spacing w:after="0"/>
              <w:rPr>
                <w:sz w:val="14"/>
                <w:szCs w:val="1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9,855,901</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4.63</w:t>
            </w:r>
          </w:p>
        </w:tc>
        <w:tc>
          <w:tcPr>
            <w:tcW w:w="10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4.31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68,642</w:t>
            </w: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(1,339,987)</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Cancelled/forfeited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Balance as of September 30, 2026 </w:t>
            </w:r>
            <w:r>
              <w:rPr>
                <w:rFonts w:ascii="Times New Roman" w:cs="Times New Roman" w:eastAsia="Times New Roman" w:hAnsi="Times New Roman"/>
                <w:sz w:val="7"/>
                <w:szCs w:val="7"/>
                <w:color w:val="auto"/>
              </w:rPr>
              <w:t>(1)</w:t>
            </w:r>
          </w:p>
        </w:tc>
        <w:tc>
          <w:tcPr>
            <w:tcW w:w="1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8,503,914</w:t>
            </w:r>
          </w:p>
        </w:tc>
        <w:tc>
          <w:tcPr>
            <w:tcW w:w="2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4.99</w:t>
            </w:r>
          </w:p>
        </w:tc>
        <w:tc>
          <w:tcPr>
            <w:tcW w:w="10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3.68</w:t>
            </w: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76,405</w:t>
            </w:r>
          </w:p>
        </w:tc>
      </w:tr>
      <w:tr>
        <w:trPr>
          <w:trHeight w:val="158"/>
        </w:trPr>
        <w:tc>
          <w:tcPr>
            <w:tcW w:w="20" w:type="dxa"/>
            <w:vAlign w:val="bottom"/>
          </w:tcPr>
          <w:p>
            <w:pPr>
              <w:spacing w:after="0"/>
              <w:rPr>
                <w:sz w:val="13"/>
                <w:szCs w:val="13"/>
                <w:color w:val="auto"/>
              </w:rPr>
            </w:pPr>
          </w:p>
        </w:tc>
        <w:tc>
          <w:tcPr>
            <w:tcW w:w="34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Exercisable as of September 30, 2026</w:t>
            </w:r>
          </w:p>
        </w:tc>
        <w:tc>
          <w:tcPr>
            <w:tcW w:w="1120" w:type="dxa"/>
            <w:vAlign w:val="bottom"/>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8,391,414</w:t>
            </w:r>
          </w:p>
        </w:tc>
        <w:tc>
          <w:tcPr>
            <w:tcW w:w="20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4.86</w:t>
            </w:r>
          </w:p>
        </w:tc>
        <w:tc>
          <w:tcPr>
            <w:tcW w:w="104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3.65</w:t>
            </w:r>
          </w:p>
        </w:tc>
        <w:tc>
          <w:tcPr>
            <w:tcW w:w="18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line="158" w:lineRule="exact"/>
              <w:rPr>
                <w:sz w:val="20"/>
                <w:szCs w:val="20"/>
                <w:color w:val="auto"/>
              </w:rPr>
            </w:pPr>
            <w:r>
              <w:rPr>
                <w:rFonts w:ascii="Times New Roman" w:cs="Times New Roman" w:eastAsia="Times New Roman" w:hAnsi="Times New Roman"/>
                <w:sz w:val="14"/>
                <w:szCs w:val="14"/>
                <w:color w:val="auto"/>
              </w:rPr>
              <w:t>76,405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-137795</wp:posOffset>
            </wp:positionV>
            <wp:extent cx="546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-123825</wp:posOffset>
            </wp:positionV>
            <wp:extent cx="546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21" w:lineRule="exact"/>
        <w:rPr>
          <w:sz w:val="20"/>
          <w:szCs w:val="20"/>
          <w:color w:val="auto"/>
        </w:rPr>
      </w:pPr>
    </w:p>
    <w:p>
      <w:pPr>
        <w:ind w:left="900" w:right="919" w:hanging="262"/>
        <w:spacing w:after="0" w:line="264" w:lineRule="auto"/>
        <w:tabs>
          <w:tab w:leader="none" w:pos="90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no forfeitures are estimated due to the Company’s adoption of ASU No. 2016-09, all options are vested or expected to vest. As of September 30, 2026, no options were outstanding that were subject to a future performance condition.</w:t>
      </w:r>
    </w:p>
    <w:p>
      <w:pPr>
        <w:spacing w:after="0" w:line="132"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The aggregate intrinsic values of options are calculated as the difference between the exercise price of the options and the market price for shares of the Company’s Class A common stock as of each period-end. The total intrinsic value of options exercised for the nine months ended September 30, 2026 and 2025 was $10.1 million and $9.3 million, respectively.</w:t>
      </w:r>
    </w:p>
    <w:p>
      <w:pPr>
        <w:spacing w:after="0" w:line="136" w:lineRule="exact"/>
        <w:rPr>
          <w:sz w:val="20"/>
          <w:szCs w:val="20"/>
          <w:color w:val="auto"/>
        </w:rPr>
      </w:pPr>
    </w:p>
    <w:p>
      <w:pPr>
        <w:ind w:left="640" w:right="999" w:firstLine="351"/>
        <w:spacing w:after="0" w:line="292" w:lineRule="auto"/>
        <w:rPr>
          <w:sz w:val="20"/>
          <w:szCs w:val="20"/>
          <w:color w:val="auto"/>
        </w:rPr>
      </w:pPr>
      <w:r>
        <w:rPr>
          <w:rFonts w:ascii="Times New Roman" w:cs="Times New Roman" w:eastAsia="Times New Roman" w:hAnsi="Times New Roman"/>
          <w:sz w:val="14"/>
          <w:szCs w:val="14"/>
          <w:color w:val="auto"/>
        </w:rPr>
        <w:t>No stock options were granted in the nine months ended September 30, 2026 and 2025. No tax benefits were realized from options during the periods.</w:t>
      </w:r>
    </w:p>
    <w:p>
      <w:pPr>
        <w:spacing w:after="0" w:line="124"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As of September 30, 2026, total unrecognized stock-based compensation expense related to options outstanding under the combined stock plans was $0.8 million. This unrecognized expense as of September 30, 2026 is expected to be recognized over the weighted average remaining vesting period of 0.74 years. As of September 30, 2026, the Company had non-employee stock options exercisable for up to 179,500 shares of Class A common stock outstanding under the combined stock plans.</w:t>
      </w:r>
    </w:p>
    <w:p>
      <w:pPr>
        <w:spacing w:after="0" w:line="140"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fair value of each option granted to employees under the 2021 Plan is estimated on the grant date using the Black-Scholes pricing model.</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99" w:lineRule="exact"/>
        <w:rPr>
          <w:sz w:val="20"/>
          <w:szCs w:val="20"/>
          <w:color w:val="auto"/>
        </w:rPr>
      </w:pPr>
    </w:p>
    <w:p>
      <w:pPr>
        <w:jc w:val="both"/>
        <w:ind w:left="640" w:right="1259" w:firstLine="351"/>
        <w:spacing w:after="0" w:line="274" w:lineRule="auto"/>
        <w:rPr>
          <w:sz w:val="20"/>
          <w:szCs w:val="20"/>
          <w:color w:val="auto"/>
        </w:rPr>
      </w:pPr>
      <w:r>
        <w:rPr>
          <w:rFonts w:ascii="Times New Roman" w:cs="Times New Roman" w:eastAsia="Times New Roman" w:hAnsi="Times New Roman"/>
          <w:sz w:val="14"/>
          <w:szCs w:val="14"/>
          <w:color w:val="auto"/>
        </w:rPr>
        <w:t>RSUs granted under the 2021 Plan generally vest based on continued service. During the three and nine months ended September 30, 2026, the Company recorded $27.7 million and $73.4 million in stock-based compensation related to RSUs, respectively.</w:t>
      </w:r>
    </w:p>
    <w:p>
      <w:pPr>
        <w:spacing w:after="0" w:line="136"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The total fair value of RSUs vested during the nine months ended September 30, 2026 and 2025 was $70.6 million and $76.6 million, respectively. As of September 30, 2026, total unrecognized stock-based compensation expense related to RSUs was $166.6 million. This unrecognized expense as of September 30, 2026 is expected to be recognized over the weighted average remaining vesting period of 2.00 years. As of September 30, 2026, the Company had 223,077 shares of non-employee RSUs outstanding under the combined stock plans.</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RSU activity during the nine months ended September 30, 2026 was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2"/>
        </w:trPr>
        <w:tc>
          <w:tcPr>
            <w:tcW w:w="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2"/>
        </w:trPr>
        <w:tc>
          <w:tcPr>
            <w:tcW w:w="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8"/>
        </w:trPr>
        <w:tc>
          <w:tcPr>
            <w:tcW w:w="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520" w:type="dxa"/>
            <w:vAlign w:val="bottom"/>
          </w:tcPr>
          <w:p>
            <w:pPr>
              <w:spacing w:after="0"/>
              <w:rPr>
                <w:sz w:val="16"/>
                <w:szCs w:val="16"/>
                <w:color w:val="auto"/>
              </w:rPr>
            </w:pPr>
          </w:p>
        </w:tc>
      </w:tr>
      <w:tr>
        <w:trPr>
          <w:trHeight w:val="163"/>
        </w:trPr>
        <w:tc>
          <w:tcPr>
            <w:tcW w:w="520" w:type="dxa"/>
            <w:vAlign w:val="bottom"/>
          </w:tcPr>
          <w:p>
            <w:pPr>
              <w:spacing w:after="0"/>
              <w:rPr>
                <w:sz w:val="14"/>
                <w:szCs w:val="14"/>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35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14,049,044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10.16</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35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16,838,820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7.59</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w:t>
            </w:r>
          </w:p>
        </w:tc>
        <w:tc>
          <w:tcPr>
            <w:tcW w:w="3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(7,701,752)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9.17</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Cancelled/forfeited</w:t>
            </w:r>
          </w:p>
        </w:tc>
        <w:tc>
          <w:tcPr>
            <w:tcW w:w="24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(2,743,394)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8.81</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September 30, 2026</w:t>
            </w:r>
          </w:p>
        </w:tc>
        <w:tc>
          <w:tcPr>
            <w:tcW w:w="35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20,442,718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8.61</w:t>
            </w:r>
          </w:p>
        </w:tc>
        <w:tc>
          <w:tcPr>
            <w:tcW w:w="520" w:type="dxa"/>
            <w:vAlign w:val="bottom"/>
          </w:tcPr>
          <w:p>
            <w:pPr>
              <w:spacing w:after="0"/>
              <w:rPr>
                <w:sz w:val="17"/>
                <w:szCs w:val="17"/>
                <w:color w:val="auto"/>
              </w:rPr>
            </w:pPr>
          </w:p>
        </w:tc>
      </w:tr>
      <w:tr>
        <w:trPr>
          <w:trHeight w:val="508"/>
        </w:trPr>
        <w:tc>
          <w:tcPr>
            <w:tcW w:w="520" w:type="dxa"/>
            <w:vAlign w:val="bottom"/>
          </w:tcPr>
          <w:p>
            <w:pPr>
              <w:spacing w:after="0"/>
              <w:rPr>
                <w:sz w:val="24"/>
                <w:szCs w:val="24"/>
                <w:color w:val="auto"/>
              </w:rPr>
            </w:pPr>
          </w:p>
        </w:tc>
        <w:tc>
          <w:tcPr>
            <w:tcW w:w="2880" w:type="dxa"/>
            <w:vAlign w:val="bottom"/>
            <w:tcBorders>
              <w:top w:val="single" w:sz="8" w:color="CFF0FC"/>
            </w:tcBorders>
          </w:tcPr>
          <w:p>
            <w:pPr>
              <w:spacing w:after="0"/>
              <w:rPr>
                <w:sz w:val="24"/>
                <w:szCs w:val="24"/>
                <w:color w:val="auto"/>
              </w:rPr>
            </w:pPr>
          </w:p>
        </w:tc>
        <w:tc>
          <w:tcPr>
            <w:tcW w:w="2400" w:type="dxa"/>
            <w:vAlign w:val="bottom"/>
            <w:tcBorders>
              <w:top w:val="single" w:sz="8" w:color="CFF0FC"/>
            </w:tcBorders>
          </w:tcPr>
          <w:p>
            <w:pPr>
              <w:jc w:val="right"/>
              <w:ind w:right="1268"/>
              <w:spacing w:after="0"/>
              <w:rPr>
                <w:sz w:val="20"/>
                <w:szCs w:val="20"/>
                <w:color w:val="auto"/>
              </w:rPr>
            </w:pPr>
            <w:r>
              <w:rPr>
                <w:rFonts w:ascii="Times New Roman" w:cs="Times New Roman" w:eastAsia="Times New Roman" w:hAnsi="Times New Roman"/>
                <w:sz w:val="14"/>
                <w:szCs w:val="14"/>
                <w:color w:val="auto"/>
              </w:rPr>
              <w:t>19</w:t>
            </w: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-756285</wp:posOffset>
            </wp:positionV>
            <wp:extent cx="7493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-742950</wp:posOffset>
            </wp:positionV>
            <wp:extent cx="749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i w:val="1"/>
          <w:iCs w:val="1"/>
          <w:color w:val="auto"/>
        </w:rPr>
        <w:t>2021 Employee Stock Purchase Plan</w:t>
      </w:r>
    </w:p>
    <w:p>
      <w:pPr>
        <w:spacing w:after="0" w:line="9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September 30, 2026, a total of 6,544,822 shares of the Company’s Class A common stock were available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commencing on May 15th and November 15th of each year.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146"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w:t>
      </w:r>
    </w:p>
    <w:p>
      <w:pPr>
        <w:spacing w:after="0" w:line="140"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As of September 30, 2026, 2.2 million shares have been purchased under the ESPP. During the three and nine months ended September 30, 2026, the Company recognized $0.4 million and $2.0 million of stock-based compensation expense related to the ESPP, respectively. As of September 30, 2026, total unrecognized compensation cost related to the ESPP was $0.4 million, which will be amortized over a weighted average period of 0.49 years.</w:t>
      </w:r>
    </w:p>
    <w:p>
      <w:pPr>
        <w:spacing w:after="0" w:line="140"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Stock-based compensation expense, net of actual forfeitures, is reflected in the condensed consolidated statements of operations and comprehensive loss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4"/>
        </w:trPr>
        <w:tc>
          <w:tcPr>
            <w:tcW w:w="39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r>
      <w:tr>
        <w:trPr>
          <w:trHeight w:val="16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80" w:type="dxa"/>
            <w:vAlign w:val="bottom"/>
            <w:shd w:val="clear" w:color="auto" w:fill="CFF0FC"/>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25,294</w:t>
            </w:r>
          </w:p>
        </w:tc>
        <w:tc>
          <w:tcPr>
            <w:tcW w:w="80" w:type="dxa"/>
            <w:vAlign w:val="bottom"/>
          </w:tcPr>
          <w:p>
            <w:pPr>
              <w:spacing w:after="0"/>
              <w:rPr>
                <w:sz w:val="14"/>
                <w:szCs w:val="14"/>
                <w:color w:val="auto"/>
              </w:rPr>
            </w:pPr>
          </w:p>
        </w:tc>
      </w:tr>
      <w:tr>
        <w:trPr>
          <w:trHeight w:val="17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10,054</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28,849</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27,593</w:t>
            </w:r>
          </w:p>
        </w:tc>
        <w:tc>
          <w:tcPr>
            <w:tcW w:w="80" w:type="dxa"/>
            <w:vAlign w:val="bottom"/>
            <w:shd w:val="clear" w:color="auto" w:fill="CFF0FC"/>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80" w:type="dxa"/>
            <w:vAlign w:val="bottom"/>
          </w:tcPr>
          <w:p>
            <w:pPr>
              <w:spacing w:after="0"/>
              <w:rPr>
                <w:sz w:val="14"/>
                <w:szCs w:val="14"/>
                <w:color w:val="auto"/>
              </w:rPr>
            </w:pPr>
          </w:p>
        </w:tc>
      </w:tr>
      <w:tr>
        <w:trPr>
          <w:trHeight w:val="18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25,116</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70,218</w:t>
            </w:r>
          </w:p>
        </w:tc>
        <w:tc>
          <w:tcPr>
            <w:tcW w:w="80" w:type="dxa"/>
            <w:vAlign w:val="bottom"/>
            <w:shd w:val="clear" w:color="auto" w:fill="CFF0FC"/>
          </w:tcPr>
          <w:p>
            <w:pPr>
              <w:spacing w:after="0"/>
              <w:rPr>
                <w:sz w:val="15"/>
                <w:szCs w:val="15"/>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-19685</wp:posOffset>
            </wp:positionV>
            <wp:extent cx="476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-6350</wp:posOffset>
            </wp:positionV>
            <wp:extent cx="476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-19685</wp:posOffset>
            </wp:positionV>
            <wp:extent cx="476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-6350</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-19685</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-6350</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0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On May 6, 2025, the Board approved a share repurchase program (the “Repurchase Program”), under which the Company is authorized to repurchase up to $50.0 million of the Company’s Class A common stock. On February 18, 2026, the Board approved an increase to the Repurchase Program, authorizing repurchases up to an additional $100.0 million of the Company's Class A common stock.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specific number of shares of its Class A common stock, and may be modified, suspended or terminated at any time without notice.</w:t>
      </w:r>
    </w:p>
    <w:p>
      <w:pPr>
        <w:spacing w:after="0" w:line="146"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During the nine months ended September 30, 2026, the Company repurchased 12,940,579 shares of Class A common stock for an aggregate amount of $89.5 million, including broker commission fees. Shares repurchased by the Company are immediately retired and returned to the status of authorized and unissued. The cost paid to repurchase shares in excess of the par value is recorded to additional paid-in capital on the Company’s condensed consolidated balance sheet. As of September 30, 2026, a total of $36.6 million remains available for future repurchases under the Repurchase Program.</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Other Share Repurchases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0" w:name="page21"/>
    <w:bookmarkEnd w:id="20"/>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In 2025, the Company repurchased and retired 599,655 shares of its Class A common stock for an aggregate purchase price of $6.8 million. The repurchase was conducted through a privately negotiated transaction under the Company’s contractual right of first refusal granted in connection with a prior acquisition and was not part of the Company’s authorized Repurchase Program. Shares repurchased by the Company are immediately retired and returned to the status of authorized and unissued. The cost paid to repurchase shares in excess of the par value is recorded to additional paid-in capital on the Company’s consolidated balance sheet.</w:t>
      </w:r>
    </w:p>
    <w:p>
      <w:pPr>
        <w:spacing w:after="0" w:line="142"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No share repurchases (other than share repurchases under the Repurchase Program discussed above) were made during the nine months ended September 30, 2026.</w:t>
      </w:r>
    </w:p>
    <w:p>
      <w:pPr>
        <w:spacing w:after="0" w:line="208" w:lineRule="exact"/>
        <w:rPr>
          <w:sz w:val="20"/>
          <w:szCs w:val="20"/>
          <w:color w:val="auto"/>
        </w:rPr>
      </w:pPr>
    </w:p>
    <w:p>
      <w:pPr>
        <w:ind w:left="980" w:hanging="342"/>
        <w:spacing w:after="0"/>
        <w:tabs>
          <w:tab w:leader="none" w:pos="98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had an effective tax rate of (4.7)% and (4.3)% for the three and nine months ended September 30, 2026, respectively, and (4.0)% and (3.3)% for the three and nine months ended September 30, 2025, respectively. The Company continues to incur U.S. operating losses and has minimal profits in its foreign jurisdictions.</w:t>
      </w:r>
    </w:p>
    <w:p>
      <w:pPr>
        <w:spacing w:after="0" w:line="136"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During the three and nine months ended September 30, 2026 and 2025, the Company evaluated all available evidence, both positive and negative, including historical levels of income, along with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142"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On July 4, 2025, the One Big Beautiful Bill Act (“the OBBBA”) was signed into law. The OBBBA introduces multiple tax law and other legislative changes, which may be subject to further clarification and the issuance of interpretive guidance. The new legislation did not have a material impact on the Company’s consolidated financial statements. The Company will continue to monitor developments on additional guidance and legislative changes.</w:t>
      </w:r>
    </w:p>
    <w:p>
      <w:pPr>
        <w:spacing w:after="0" w:line="224" w:lineRule="exact"/>
        <w:rPr>
          <w:sz w:val="20"/>
          <w:szCs w:val="20"/>
          <w:color w:val="auto"/>
        </w:rPr>
      </w:pPr>
    </w:p>
    <w:p>
      <w:pPr>
        <w:ind w:left="980" w:hanging="342"/>
        <w:spacing w:after="0"/>
        <w:tabs>
          <w:tab w:leader="none" w:pos="98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Leases</w:t>
      </w:r>
    </w:p>
    <w:p>
      <w:pPr>
        <w:spacing w:after="0" w:line="98"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Supplemental cash flow information related to operating leases was as follows (in thousands):</w:t>
      </w:r>
    </w:p>
    <w:p>
      <w:pPr>
        <w:spacing w:after="0" w:line="18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520" w:type="dxa"/>
            <w:vAlign w:val="bottom"/>
            <w:tcBorders>
              <w:top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1,186</w:t>
            </w:r>
          </w:p>
        </w:tc>
      </w:tr>
      <w:tr>
        <w:trPr>
          <w:trHeight w:val="18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1,683</w:t>
            </w:r>
          </w:p>
        </w:tc>
      </w:tr>
    </w:tbl>
    <w:p>
      <w:pPr>
        <w:spacing w:after="0" w:line="165"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Future minimum lease payments under non-cancellable operating leases with initial lease terms in excess of one year included in the Company’s lease liabilities as of September 30, 2026 were as follows (in thousands):</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5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Remainder of 2026</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1,217</w:t>
            </w:r>
          </w:p>
        </w:tc>
      </w:tr>
      <w:tr>
        <w:trPr>
          <w:trHeight w:val="17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2027</w:t>
            </w:r>
          </w:p>
        </w:tc>
        <w:tc>
          <w:tcPr>
            <w:tcW w:w="5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4,467</w:t>
            </w:r>
          </w:p>
        </w:tc>
      </w:tr>
      <w:tr>
        <w:trPr>
          <w:trHeight w:val="17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5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3,348</w:t>
            </w:r>
          </w:p>
        </w:tc>
      </w:tr>
      <w:tr>
        <w:trPr>
          <w:trHeight w:val="17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2029 and thereafter</w:t>
            </w:r>
          </w:p>
        </w:tc>
        <w:tc>
          <w:tcPr>
            <w:tcW w:w="5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492</w:t>
            </w:r>
          </w:p>
        </w:tc>
      </w:tr>
      <w:tr>
        <w:trPr>
          <w:trHeight w:val="163"/>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Total undiscounted operating lease payments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9,524</w:t>
            </w:r>
          </w:p>
        </w:tc>
      </w:tr>
      <w:tr>
        <w:trPr>
          <w:trHeight w:val="17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5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63"/>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9,329</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980" w:hanging="342"/>
        <w:spacing w:after="0"/>
        <w:tabs>
          <w:tab w:leader="none" w:pos="98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01"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spacing w:after="0" w:line="136" w:lineRule="exact"/>
        <w:rPr>
          <w:sz w:val="20"/>
          <w:szCs w:val="20"/>
          <w:color w:val="auto"/>
        </w:rPr>
      </w:pPr>
    </w:p>
    <w:p>
      <w:pPr>
        <w:jc w:val="both"/>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1" w:name="page22"/>
    <w:bookmarkEnd w:id="21"/>
    <w:p>
      <w:pPr>
        <w:ind w:left="640" w:right="679"/>
        <w:spacing w:after="0" w:line="261" w:lineRule="auto"/>
        <w:rPr>
          <w:sz w:val="20"/>
          <w:szCs w:val="20"/>
          <w:color w:val="auto"/>
        </w:rPr>
      </w:pPr>
      <w:r>
        <w:rPr>
          <w:rFonts w:ascii="Times New Roman" w:cs="Times New Roman" w:eastAsia="Times New Roman" w:hAnsi="Times New Roman"/>
          <w:sz w:val="14"/>
          <w:szCs w:val="14"/>
          <w:color w:val="auto"/>
        </w:rPr>
        <w:t>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00" w:lineRule="exact"/>
        <w:rPr>
          <w:sz w:val="20"/>
          <w:szCs w:val="20"/>
          <w:color w:val="auto"/>
        </w:rPr>
      </w:pPr>
    </w:p>
    <w:p>
      <w:pPr>
        <w:spacing w:after="0" w:line="205" w:lineRule="exact"/>
        <w:rPr>
          <w:sz w:val="20"/>
          <w:szCs w:val="20"/>
          <w:color w:val="auto"/>
        </w:rPr>
      </w:pPr>
    </w:p>
    <w:p>
      <w:pPr>
        <w:ind w:left="980" w:hanging="342"/>
        <w:spacing w:after="0"/>
        <w:tabs>
          <w:tab w:leader="none" w:pos="98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Loss Per Share</w:t>
      </w:r>
    </w:p>
    <w:p>
      <w:pPr>
        <w:spacing w:after="0" w:line="98"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presents the calculation of basic and diluted net loss per share (in thousands, except per share data):</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Class A and Class B common stockholders</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(24,524)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(23,986)</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(82,415)</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(70,885)</w:t>
            </w:r>
          </w:p>
        </w:tc>
      </w:tr>
      <w:tr>
        <w:trPr>
          <w:trHeight w:val="157"/>
        </w:trPr>
        <w:tc>
          <w:tcPr>
            <w:tcW w:w="38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attributable to Class A and Class B common stockholders, basic</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and diluted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125,988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132,997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129,530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131,364</w:t>
            </w:r>
          </w:p>
        </w:tc>
      </w:tr>
      <w:tr>
        <w:trPr>
          <w:trHeight w:val="158"/>
        </w:trPr>
        <w:tc>
          <w:tcPr>
            <w:tcW w:w="386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Net loss per share attributable to Class A and Class B common</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8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 basic and diluted</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(0.54)</w:t>
            </w:r>
          </w:p>
        </w:tc>
      </w:tr>
    </w:tbl>
    <w:p>
      <w:pPr>
        <w:spacing w:after="0" w:line="17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following potential shares of common stock were excluded from the calculation of diluted net loss per share because their effect would have been anti-dilutive for the periods presented (in thousands):</w:t>
      </w:r>
    </w:p>
    <w:p>
      <w:pPr>
        <w:spacing w:after="0" w:line="1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7"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52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plan stock options outstanding</w:t>
            </w:r>
          </w:p>
        </w:tc>
        <w:tc>
          <w:tcPr>
            <w:tcW w:w="4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8,504</w:t>
            </w:r>
          </w:p>
        </w:tc>
        <w:tc>
          <w:tcPr>
            <w:tcW w:w="1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10,244</w:t>
            </w:r>
          </w:p>
        </w:tc>
      </w:tr>
      <w:tr>
        <w:trPr>
          <w:trHeight w:val="172"/>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 outstanding</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8"/>
              </w:rPr>
              <w:t>20,443</w:t>
            </w:r>
          </w:p>
        </w:tc>
        <w:tc>
          <w:tcPr>
            <w:tcW w:w="1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16,095</w:t>
            </w:r>
          </w:p>
        </w:tc>
      </w:tr>
      <w:tr>
        <w:trPr>
          <w:trHeight w:val="172"/>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shares</w:t>
            </w:r>
          </w:p>
        </w:tc>
        <w:tc>
          <w:tcPr>
            <w:tcW w:w="4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Shares issuable pursuant to the ESPP</w:t>
            </w: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98"/>
              </w:rPr>
              <w:t>29,158</w:t>
            </w:r>
          </w:p>
        </w:tc>
        <w:tc>
          <w:tcPr>
            <w:tcW w:w="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-19685</wp:posOffset>
            </wp:positionV>
            <wp:extent cx="546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5461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Restructuring</w:t>
      </w:r>
    </w:p>
    <w:p>
      <w:pPr>
        <w:spacing w:after="0" w:line="99" w:lineRule="exact"/>
        <w:rPr>
          <w:sz w:val="20"/>
          <w:szCs w:val="20"/>
          <w:color w:val="auto"/>
        </w:rPr>
      </w:pPr>
    </w:p>
    <w:p>
      <w:pPr>
        <w:ind w:left="640" w:right="999" w:firstLine="286"/>
        <w:spacing w:after="0" w:line="274" w:lineRule="auto"/>
        <w:rPr>
          <w:sz w:val="20"/>
          <w:szCs w:val="20"/>
          <w:color w:val="auto"/>
        </w:rPr>
      </w:pPr>
      <w:r>
        <w:rPr>
          <w:rFonts w:ascii="Times New Roman" w:cs="Times New Roman" w:eastAsia="Times New Roman" w:hAnsi="Times New Roman"/>
          <w:sz w:val="14"/>
          <w:szCs w:val="14"/>
          <w:color w:val="auto"/>
        </w:rPr>
        <w:t>During the first six months of 2026, the Company implemented a restructuring program (“2026 Restructuring Program”) consisting of executive leadership changes and broader organizational changes intended to streamline operations, better align the Company's cost structure with its business priorities, and reduce operating costs.</w:t>
      </w:r>
    </w:p>
    <w:p>
      <w:pPr>
        <w:spacing w:after="0" w:line="136" w:lineRule="exact"/>
        <w:rPr>
          <w:sz w:val="20"/>
          <w:szCs w:val="20"/>
          <w:color w:val="auto"/>
        </w:rPr>
      </w:pPr>
    </w:p>
    <w:p>
      <w:pPr>
        <w:ind w:left="640" w:right="779" w:firstLine="286"/>
        <w:spacing w:after="0" w:line="265" w:lineRule="auto"/>
        <w:rPr>
          <w:sz w:val="20"/>
          <w:szCs w:val="20"/>
          <w:color w:val="auto"/>
        </w:rPr>
      </w:pPr>
      <w:r>
        <w:rPr>
          <w:rFonts w:ascii="Times New Roman" w:cs="Times New Roman" w:eastAsia="Times New Roman" w:hAnsi="Times New Roman"/>
          <w:sz w:val="14"/>
          <w:szCs w:val="14"/>
          <w:color w:val="auto"/>
        </w:rPr>
        <w:t>The 2026 Restructuring Program resulted in the reduction of approximately 5% of the Company's workforce. The Company did not incur any restructuring charges during the three months ended September 30, 2026 and incurred $2.9 million of restructuring charges during the nine months ended September 30, 2026, consisting primarily of employee severance and related benefits. As of September 30, 2026, the Company had completed all payments associated with the 2026 Restructuring Program with no amounts remaining unpaid.</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Subsequent Events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RSU Awards</w:t>
      </w:r>
    </w:p>
    <w:p>
      <w:pPr>
        <w:spacing w:after="0" w:line="101" w:lineRule="exact"/>
        <w:rPr>
          <w:sz w:val="20"/>
          <w:szCs w:val="20"/>
          <w:color w:val="auto"/>
        </w:rPr>
      </w:pPr>
    </w:p>
    <w:p>
      <w:pPr>
        <w:jc w:val="both"/>
        <w:ind w:left="640" w:right="679" w:firstLine="516"/>
        <w:spacing w:after="0" w:line="274" w:lineRule="auto"/>
        <w:rPr>
          <w:sz w:val="20"/>
          <w:szCs w:val="20"/>
          <w:color w:val="auto"/>
        </w:rPr>
      </w:pPr>
      <w:r>
        <w:rPr>
          <w:rFonts w:ascii="Times New Roman" w:cs="Times New Roman" w:eastAsia="Times New Roman" w:hAnsi="Times New Roman"/>
          <w:sz w:val="14"/>
          <w:szCs w:val="14"/>
          <w:color w:val="auto"/>
        </w:rPr>
        <w:t>In October 2026, the Company issued RSUs representing 301,682 shares of its Class A common stock to its employees with service-based vesting conditions. The service-based vesting condition for these awards is satisfied over three years. The grant date fair value of the RSUs issued in October 2026 was approximately $5.3 million.</w:t>
      </w:r>
    </w:p>
    <w:p>
      <w:pPr>
        <w:spacing w:after="0" w:line="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Repurchases</w:t>
      </w:r>
    </w:p>
    <w:p>
      <w:pPr>
        <w:spacing w:after="0" w:line="101" w:lineRule="exact"/>
        <w:rPr>
          <w:sz w:val="20"/>
          <w:szCs w:val="20"/>
          <w:color w:val="auto"/>
        </w:rPr>
      </w:pPr>
    </w:p>
    <w:p>
      <w:pPr>
        <w:jc w:val="both"/>
        <w:ind w:left="640" w:right="859" w:firstLine="516"/>
        <w:spacing w:after="0" w:line="274" w:lineRule="auto"/>
        <w:rPr>
          <w:sz w:val="20"/>
          <w:szCs w:val="20"/>
          <w:color w:val="auto"/>
        </w:rPr>
      </w:pPr>
      <w:r>
        <w:rPr>
          <w:rFonts w:ascii="Times New Roman" w:cs="Times New Roman" w:eastAsia="Times New Roman" w:hAnsi="Times New Roman"/>
          <w:sz w:val="14"/>
          <w:szCs w:val="14"/>
          <w:color w:val="auto"/>
        </w:rPr>
        <w:t>On October 15, 2026, the Company exercised its right of first refusal and repurchased 396,466 shares of Class A common stock from Command AI founders for a total purchase price of $6.3 million. The repurchased shares were immediately retired upon completion of the transactions.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2025 (the “2025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43" w:lineRule="exact"/>
        <w:rPr>
          <w:sz w:val="20"/>
          <w:szCs w:val="20"/>
          <w:color w:val="auto"/>
        </w:rPr>
      </w:pPr>
    </w:p>
    <w:p>
      <w:pPr>
        <w:ind w:left="640" w:right="939" w:firstLine="351"/>
        <w:spacing w:after="0" w:line="295" w:lineRule="auto"/>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report to “Amplitude,” the “Company,” “we,” “our,” “us,” or similar terms refer to Amplitude, Inc. and its subsidiaries.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Amplitude provides an AI-powered platform that helps businesses understand and improve digital experiences across websites, applications, and AI agents. Our platform helps teams understand customer behavior, decide what to build or change, and test whether those changes improve acquisition, conversion, retention, and revenue. We serve organizations across industries, sizes, and stages of digital maturity, from emerging companies to global enterprises.</w:t>
      </w:r>
    </w:p>
    <w:p>
      <w:pPr>
        <w:spacing w:after="0" w:line="54"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AI is accelerating how quickly businesses build and release software. Faster development increases the need to understand which changes help customers and improve business performance. Amplitude helps product, engineering, data, and marketing teams answer these questions. For example, teams can identify where customers abandon an application, investigate why, and test whether a change increases completion rates.</w:t>
      </w:r>
    </w:p>
    <w:p>
      <w:pPr>
        <w:spacing w:after="0" w:line="54"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platform combines customer data and feedback with analytics, AI agents, experimentation, and feature management. Teams use these capabilities to investigate problems, identify opportunities, test changes, and control rollouts. Our offerings include Product and Marketing Analytics, Session Replay, Customer Feedback, Guides and Surveys, Agent Analytics, and Experimentation and Feature Management through Amplitude and Statsig. Our Model Context Protocol server and AI plugin allow teams to use Amplitude data and capabilities within external AI tools and development workflows.</w:t>
      </w:r>
    </w:p>
    <w:p>
      <w:pPr>
        <w:spacing w:after="0" w:line="56"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We are developing capabilities that help organizations build self-improving products, where each release and experiment informs what to improve next. Wave, currently in closed beta, is our product agent designed to analyze usage data and code, identify opportunities, coordinate development and experimentation, and measure results. Teams set the goals, review proposed changes, and control releases.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Customer Acquisition and Expansion</w:t>
      </w:r>
    </w:p>
    <w:p>
      <w:pPr>
        <w:spacing w:after="0" w:line="101"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We believe that our AI-powered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40"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September 30, 2026 and 2025, we had 855 and 653 customers, respectively, that each represented greater than $100,000 in ARR, representing a 31% increase year-over-year. We believe our relationship with some of the world’s most beloved product-led companies has resulted in increased brand credibility and access to many attractive growth opportunities. As of September 30, 2026 and 2025, our dollar-based net retention rate for the trailing 12 months ("TTM") was 104% and 102%, respectively, for paying customers. Additionally, our ending dollar-based net retention rate for paying customers as of September 30, 2026 and 2025, was 103% and 104%, respectively.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Investments in Platform</w:t>
      </w:r>
    </w:p>
    <w:p>
      <w:pPr>
        <w:spacing w:after="0" w:line="101" w:lineRule="exact"/>
        <w:rPr>
          <w:sz w:val="20"/>
          <w:szCs w:val="20"/>
          <w:color w:val="auto"/>
        </w:rPr>
      </w:pPr>
    </w:p>
    <w:p>
      <w:pPr>
        <w:ind w:left="640" w:right="699" w:firstLine="351"/>
        <w:spacing w:after="0" w:line="173" w:lineRule="exact"/>
        <w:rPr>
          <w:sz w:val="20"/>
          <w:szCs w:val="20"/>
          <w:color w:val="auto"/>
        </w:rPr>
      </w:pPr>
      <w:r>
        <w:rPr>
          <w:rFonts w:ascii="Times New Roman" w:cs="Times New Roman" w:eastAsia="Times New Roman" w:hAnsi="Times New Roman"/>
          <w:sz w:val="14"/>
          <w:szCs w:val="14"/>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improve and expand our platform capabilities. In October 2024, we acquired CommandAI to provide intuitive AI-powered user assistance to make complex software easier to adopt and navigate. In June 2025, we completed an asset acquisition of Inari to accelerate our AI roadmap, leveraging their team’s deep expertise in applied AI. In July 2025, we completed a talent acquisition of June.io, a startup focused on empowering early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stage product teams, to contribute to our next generation of AI-driven analytics experiences. In July 2025, we completed the acquisition of Kraftful, integrating Kraftful's Voice of Customer Technology to unite quantitative user behavioral data and qualitative user feedback into Amplitude. In January 2026, we completed the acquisition of InfiniGrow Ltd., an AI marketing analytics company that helps organizations measure, forecast, and optimize the impact of marketing on revenue. In May 2026, we acquired the brand, perpetual non-exclusive license to use certain proprietary technology, and customers of Statsig to enhance our warehouse native experiment and feature flag initiatives. Going forward, we may pursue both strategic partnerships and acquisitions that we believe will be complementary to our business, accelerate customer acquisition, increase usage of our platform, and/or expand our platform offerings in our core markets.</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for Growth</w:t>
      </w:r>
    </w:p>
    <w:p>
      <w:pPr>
        <w:spacing w:after="0" w:line="101"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Our investment for growth encompasses multiple critical areas, including product expansion, our sales force, sales support, partner ecosystem, and our international presence. We continue to evolve our technology and platform to ensure that we are best serving our customers’ needs. For example, in February 2025, following our acquisition of CommandAI, we rolled out Guides and Surveys to help organizations improve onboarding and user engagement. In May 2025, we rolled out a suite of new marketing capabilities that give visibility into the entire customer journey, enabling marketers to increase conversion, improve ROI, and target audiences more precisely. In June 2025, we introduced Amplitude AI Agents, which turned Amplitude into a team of specialized experts that works 24/7 to analyze user behavior, run experiments, and optimize digital experiences. In October 2025, we launched Amplitude MCP server that enables teams to analyze product data, experiments, and user behavior using conversational AI. In October 2025, we launched AI Visibility, a new capability that gives marketers unprecedented insight into how their brand shows up in AI search results, accompanied by recommendations on how to improve it based on a company’s actual data. In November 2025, we launched AI Feedback, a customer feedback engine with a proprietary LLM process that automatically turns raw input into prioritized, actionable insights. In December 2025, we launched Amplitude's Automated Insights that can replicate an expert's standard analysis process in a fraction of the time. In January 2026, we launched Global Agent, a fully automated AI Analyst. Global Agent is designed to do anything a human can do in Amplitude, from creating a cohort to deploying a guide in a few minutes. In the same month, we also launched Specialized Agents, including dashboard monitoring agent, feedback agent, website conversion agent, and session replay agent. In April 2026, we launched Amplitude AI Assistant, an embedded support agent that answers questions with behavioral data and user insights, guides users through tasks, and shows product teams whether problems are truly fixed. In May 2026, we launched the Amplitude AI plugin, which bundles the Amplitude MCP server with more than 25 reusable skills so external AI agents can analyze data, plan instrumentation, and monitor experiments directly. We also began a closed beta of Wave, our product agent that analyzes usage data and code to surface what to build next, orchestrate the work, and measure the impact. In June 2026, we launched Zoning Insights, which overlays conversion metrics directly on live pages so teams can see which elements drive engagement and revenue. In June 2026, we made available Custom Agents, which enable customers to configure AI agents that automatically run recurring workflows on their product and customer data, together with Agent Connectors, which allow Amplitude agents to access and take action in third-party tools such as Slack, Jira, Linear, and GitHub. In August 2026, we announced the general availability of Agent Analytics, which enables companies to measure the quality, cost, and business impact of their own AI agents by connecting agent interactions to outcomes such as conversion, retention, and revenue. In addition, in August 2026, we introduced Code Mode, a capability within Global Agent that writes and runs SQL and Python against customers' behavioral data in Amplitude and returns a written answer, a shareable report, and a log of each query so the analysis can be reviewed and rerun. In the same month, we launched Data Assistant Agent, which uses AI to identify and help remediate data quality issues in customers' event and property data, and we streamlined the Amplitude MCP server (Headless Amplitude), consolidating its tools into fewer, outcome-based tools to make it more efficient for external AI agents to use. We also engage customers through our Early Access Program to obtain product feedback on new AI capabilities. We continue to invest in capabilities designed to help enterprises consolidate and migrate from legacy digital analytics solutions.</w:t>
      </w:r>
    </w:p>
    <w:p>
      <w:pPr>
        <w:spacing w:after="0" w:line="326" w:lineRule="exact"/>
        <w:rPr>
          <w:sz w:val="20"/>
          <w:szCs w:val="20"/>
          <w:color w:val="auto"/>
        </w:rPr>
      </w:pPr>
    </w:p>
    <w:p>
      <w:pPr>
        <w:ind w:left="640" w:right="679" w:firstLine="516"/>
        <w:spacing w:after="0" w:line="262" w:lineRule="auto"/>
        <w:rPr>
          <w:sz w:val="20"/>
          <w:szCs w:val="20"/>
          <w:color w:val="auto"/>
        </w:rPr>
      </w:pPr>
      <w:r>
        <w:rPr>
          <w:rFonts w:ascii="Times New Roman" w:cs="Times New Roman" w:eastAsia="Times New Roman" w:hAnsi="Times New Roman"/>
          <w:sz w:val="14"/>
          <w:szCs w:val="14"/>
          <w:color w:val="auto"/>
        </w:rPr>
        <w:t>We believe the evolution of our technology and platform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attracting skilled engineering and AI talent will continue to be critical to our long-term success. As we continue to invest in our platform, we expect our research and development expenses, including those capitalized for internal-use software, to increase in dollar amounts over time. Over the longer term, we believe these expenses as a percentage of revenue will decrease, though these expenses as a percentage of revenue could increase in the short term.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4" w:name="page25"/>
    <w:bookmarkEnd w:id="24"/>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increase in dollar amounts over time. Over the longer term, we believe these expenses as a percentage of revenue will decrease, though these expenses as a percentage of revenue could increase in the short term.</w:t>
      </w:r>
    </w:p>
    <w:p>
      <w:pPr>
        <w:spacing w:after="0" w:line="14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Finally, we see opportunities to expand offices and headcount internationally to better serve targeted international markets where we believe we have a significant opportunity to accelerate existing traction and success. For the three and nine months ended September 30, 2026, 40% of our revenue was generated outside the United States.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YoY Growth</w:t>
            </w:r>
          </w:p>
        </w:tc>
        <w:tc>
          <w:tcPr>
            <w:tcW w:w="0" w:type="dxa"/>
            <w:vAlign w:val="bottom"/>
          </w:tcPr>
          <w:p>
            <w:pPr>
              <w:spacing w:after="0"/>
              <w:rPr>
                <w:sz w:val="1"/>
                <w:szCs w:val="1"/>
                <w:color w:val="auto"/>
              </w:rPr>
            </w:pPr>
          </w:p>
        </w:tc>
      </w:tr>
      <w:tr>
        <w:trPr>
          <w:trHeight w:val="164"/>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(dollar values in millions)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Annual Recurring Revenue (ARR)</w:t>
            </w:r>
          </w:p>
        </w:tc>
        <w:tc>
          <w:tcPr>
            <w:tcW w:w="138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431</w:t>
            </w:r>
          </w:p>
        </w:tc>
        <w:tc>
          <w:tcPr>
            <w:tcW w:w="74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347</w:t>
            </w:r>
          </w:p>
        </w:tc>
        <w:tc>
          <w:tcPr>
            <w:tcW w:w="108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Dollar-Based Net Retention Rate (TTM)</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w:t>
            </w:r>
          </w:p>
        </w:tc>
        <w:tc>
          <w:tcPr>
            <w:tcW w:w="10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Paying Customers with ARR of $100,000 or greater</w:t>
            </w:r>
          </w:p>
        </w:tc>
        <w:tc>
          <w:tcPr>
            <w:tcW w:w="7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653</w:t>
            </w:r>
          </w:p>
        </w:tc>
        <w:tc>
          <w:tcPr>
            <w:tcW w:w="108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Annual Recurring Revenue</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Dollar-Based Net Retention Rate</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p>
    <w:p>
      <w:pPr>
        <w:spacing w:after="0" w:line="14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We then calculate the average of the trailing 12-month dollar-based net retention rates, to arrive at the dollar-based net retention rate (“NRR (TTM)”).</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Paying Customers with ARR of $100,000 or greater</w:t>
      </w:r>
    </w:p>
    <w:p>
      <w:pPr>
        <w:spacing w:after="0" w:line="101"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For purposes of customer count, a customer is defined as an entity that has a unique Dun &amp; Bradstreet Global Ultimate (“GULT”) Data Universal Numbering System (“DUNS”) number and an active subscription contract as of the measurement date. The DUNS number is a global standard for business identification and tracking. We make exceptions for holding companies, government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5" w:name="page26"/>
    <w:bookmarkEnd w:id="25"/>
    <w:p>
      <w:pPr>
        <w:ind w:left="640" w:right="819"/>
        <w:spacing w:after="0" w:line="292" w:lineRule="auto"/>
        <w:rPr>
          <w:sz w:val="20"/>
          <w:szCs w:val="20"/>
          <w:color w:val="auto"/>
        </w:rPr>
      </w:pPr>
      <w:r>
        <w:rPr>
          <w:rFonts w:ascii="Times New Roman" w:cs="Times New Roman" w:eastAsia="Times New Roman" w:hAnsi="Times New Roman"/>
          <w:sz w:val="14"/>
          <w:szCs w:val="14"/>
          <w:color w:val="auto"/>
        </w:rPr>
        <w:t>entities, and other organizations for which the GULT, in our judgment, does not accurately represent the Amplitude customer or the DUNS does not exist.</w:t>
      </w:r>
    </w:p>
    <w:p>
      <w:pPr>
        <w:spacing w:after="0" w:line="124"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We define Paying Customers with ARR of $100,000 or greater as those Paying Customers on one or more paid subscriptions that have $100,000 or more in ARR.</w:t>
      </w:r>
    </w:p>
    <w:p>
      <w:pPr>
        <w:spacing w:after="0" w:line="124"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14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2"/>
        </w:trPr>
        <w:tc>
          <w:tcPr>
            <w:tcW w:w="3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74,394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65,490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211,779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185,697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Non-GAAP Gross Profit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77,033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67,271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218,339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190,584</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Non-GAAP Gross Margin</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(24,622)</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(25,650)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(83,936)</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(76,943)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Non-GAAP Income (Loss) from Operations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5,651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1,895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(3,025)</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 Margin</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Non-GAAP Income (Loss) from Operations Margin</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7,131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4,957</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21,104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16,989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Free Cash Flow</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5,818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3,352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16,379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12,294</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Operating Activities Margin</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Free Cash Flow Margin</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Non-GAAP Gross Profit, Non-GAAP Gross Margin, Non-GAAP Income (Loss) from Operations, and Non-GAAP Income (Loss) from Operations Margin</w:t>
      </w:r>
    </w:p>
    <w:p>
      <w:pPr>
        <w:spacing w:after="0" w:line="34"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We define non-GAAP gross profit and non-GAAP gross margin as U.S. GAAP gross profit and U.S. GAAP gross margin, respectively, excluding stock-based compensation expense and related employer payroll taxes, amortization of acquired intangible assets, acquisition-related cost, and non-recurring costs such as impairment of capitalized software and restructuring and other related charges. Non-GAAP gross margin is calculated as non-GAAP gross profit divided by total revenue.</w:t>
      </w:r>
    </w:p>
    <w:p>
      <w:pPr>
        <w:spacing w:after="0" w:line="140" w:lineRule="exact"/>
        <w:rPr>
          <w:sz w:val="20"/>
          <w:szCs w:val="20"/>
          <w:color w:val="auto"/>
        </w:rPr>
      </w:pPr>
    </w:p>
    <w:p>
      <w:pPr>
        <w:ind w:left="640" w:right="859" w:firstLine="351"/>
        <w:spacing w:after="0" w:line="265" w:lineRule="auto"/>
        <w:rPr>
          <w:sz w:val="20"/>
          <w:szCs w:val="20"/>
          <w:color w:val="auto"/>
        </w:rPr>
      </w:pPr>
      <w:r>
        <w:rPr>
          <w:rFonts w:ascii="Times New Roman" w:cs="Times New Roman" w:eastAsia="Times New Roman" w:hAnsi="Times New Roman"/>
          <w:sz w:val="14"/>
          <w:szCs w:val="14"/>
          <w:color w:val="auto"/>
        </w:rPr>
        <w:t>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acquisition-related cost, and non-recurring costs such as impairment of capitalized internal-use software and restructuring and other related charges. Non-GAAP income (loss) from operations margin is calculated as non-GAAP income (loss) from operations divided by total revenue.</w:t>
      </w:r>
    </w:p>
    <w:p>
      <w:pPr>
        <w:spacing w:after="0" w:line="142"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auto"/>
        </w:rPr>
        <w:t>We exclude stock-based compensation expense and related employer payroll tax expenses, from certain of our non-GAAP financial measures. We exclude stock-based compensation expense, which is a non-cash expense, because we believe its exclusion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6" w:name="page27"/>
    <w:bookmarkEnd w:id="26"/>
    <w:p>
      <w:pPr>
        <w:ind w:left="640" w:right="679"/>
        <w:spacing w:after="0" w:line="259" w:lineRule="auto"/>
        <w:rPr>
          <w:sz w:val="20"/>
          <w:szCs w:val="20"/>
          <w:color w:val="auto"/>
        </w:rPr>
      </w:pPr>
      <w:r>
        <w:rPr>
          <w:rFonts w:ascii="Times New Roman" w:cs="Times New Roman" w:eastAsia="Times New Roman" w:hAnsi="Times New Roman"/>
          <w:sz w:val="14"/>
          <w:szCs w:val="14"/>
          <w:color w:val="auto"/>
        </w:rPr>
        <w:t>provides meaningful supplemental information regarding our operating performance. We exclude related employer payroll tax expenses, which are cash expenses, because such expenses depend on the price of the Company’s common stock and other factors beyond the Company's control and do not correlate to the operation of the Company's business. We exclude amortization of acquired intangible assets, which is a non-cash expense, associated with business combinations from certain of our non-GAAP financial measures because it has no direct correlation to the operation of our business. We exclude acquisition-related costs because they are directly attributable to the acquisition, are not reflective of our ongoing cost structure, and are inconsistent in amount and frequency with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impairment charges related to capitalized internal-use software, which are non-cash expenses from certain of our non-GAAP financial measures because such expenses are not indicative of our ongoing operating performance. We exclude non-recurring costs from certain of our non-GAAP financial measures because such expenses do not repeat period over period and are not reflective of the ongoing operation of our business.</w:t>
      </w:r>
    </w:p>
    <w:p>
      <w:pPr>
        <w:spacing w:after="0" w:line="149"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We use non-GAAP gross profit, non-GAAP gross margin and non-GAAP income (loss) from operations margin in conjunction with traditional U.S. GAAP measures to evaluate our financial performance. We believe these measures provide management and investors with consistency and comparability to our past financial performance and facilitate period-to-period comparisons.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Free Cash Flow and Free Cash Flow Margin</w:t>
      </w:r>
    </w:p>
    <w:p>
      <w:pPr>
        <w:spacing w:after="0" w:line="101"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We define free cash flow as net cash provided by (used in) operating activities, less cash used for purchases of property and equipment and capitalized internal-use software costs. Free cash flow margin is calculated as free cash flow divided by total revenue. We believe free cash flow and free cash flow margin are useful indicators of liquidity that provide management and investors insight into our ability to generate or use cash to enhance the strength of our balance sheet and further invest in our business and pursue potential strategic initiatives.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Limitations and Reconciliations of Non-GAAP Financial Measures</w:t>
      </w:r>
    </w:p>
    <w:p>
      <w:pPr>
        <w:spacing w:after="0" w:line="10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49"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tables reconcile the most directly comparable U.S. GAAP financial measure to each of these non-GAAP financial measures.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Gross Profit and Gross Margin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28"/>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3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4"/>
        </w:trPr>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268"/>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288"/>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w:t>
            </w:r>
          </w:p>
        </w:tc>
      </w:tr>
      <w:tr>
        <w:trPr>
          <w:trHeight w:val="190"/>
        </w:trPr>
        <w:tc>
          <w:tcPr>
            <w:tcW w:w="3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r>
      <w:tr>
        <w:trPr>
          <w:trHeight w:val="17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74,394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65,490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211,779</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185,697</w:t>
            </w:r>
          </w:p>
        </w:tc>
      </w:tr>
      <w:tr>
        <w:trPr>
          <w:trHeight w:val="17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1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Stock-based compensation expense</w:t>
            </w:r>
            <w:r>
              <w:rPr>
                <w:rFonts w:ascii="Times New Roman" w:cs="Times New Roman" w:eastAsia="Times New Roman" w:hAnsi="Times New Roman"/>
                <w:sz w:val="19"/>
                <w:szCs w:val="19"/>
                <w:color w:val="auto"/>
                <w:vertAlign w:val="superscript"/>
              </w:rPr>
              <w:t>(1)</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1,405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4,754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4,141</w:t>
            </w: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acquired intangible assets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1,806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746</w:t>
            </w:r>
          </w:p>
        </w:tc>
      </w:tr>
      <w:tr>
        <w:trPr>
          <w:trHeight w:val="16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Non-GAAP Gross Profit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77,033</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67,271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218,339</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190,584</w:t>
            </w:r>
          </w:p>
        </w:tc>
      </w:tr>
      <w:tr>
        <w:trPr>
          <w:trHeight w:val="186"/>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Non-GAAP Gross Margin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bl>
    <w:p>
      <w:pPr>
        <w:spacing w:after="0" w:line="141" w:lineRule="exact"/>
        <w:rPr>
          <w:sz w:val="20"/>
          <w:szCs w:val="20"/>
          <w:color w:val="auto"/>
        </w:rPr>
      </w:pPr>
    </w:p>
    <w:p>
      <w:pPr>
        <w:ind w:left="900" w:hanging="262"/>
        <w:spacing w:after="0"/>
        <w:tabs>
          <w:tab w:leader="none" w:pos="90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Stock-based compensation expense-related charges include employer payroll tax-related expenses on employee stock transactions.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7" w:name="page28"/>
    <w:bookmarkEnd w:id="27"/>
    <w:tbl>
      <w:tblPr>
        <w:tblLayout w:type="fixed"/>
        <w:tblInd w:w="640" w:type="dxa"/>
        <w:tblCellMar>
          <w:top w:w="0" w:type="dxa"/>
          <w:left w:w="0" w:type="dxa"/>
          <w:bottom w:w="0" w:type="dxa"/>
          <w:right w:w="0" w:type="dxa"/>
        </w:tblCellMar>
      </w:tblPr>
      <w:tr>
        <w:trPr>
          <w:trHeight w:val="190"/>
        </w:trPr>
        <w:tc>
          <w:tcPr>
            <w:tcW w:w="56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Income (Loss) From Operations and Income (Loss) From Operations Margin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2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center"/>
              <w:ind w:right="248"/>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4"/>
          </w:tcPr>
          <w:p>
            <w:pPr>
              <w:jc w:val="center"/>
              <w:ind w:right="308"/>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w:t>
            </w:r>
          </w:p>
        </w:tc>
      </w:tr>
      <w:tr>
        <w:trPr>
          <w:trHeight w:val="190"/>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r>
      <w:tr>
        <w:trPr>
          <w:trHeight w:val="173"/>
        </w:trPr>
        <w:tc>
          <w:tcPr>
            <w:tcW w:w="20" w:type="dxa"/>
            <w:vAlign w:val="bottom"/>
          </w:tcPr>
          <w:p>
            <w:pPr>
              <w:spacing w:after="0"/>
              <w:rPr>
                <w:sz w:val="15"/>
                <w:szCs w:val="15"/>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(24,622)</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(25,650)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(83,936)</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(76,943)</w:t>
            </w:r>
          </w:p>
        </w:tc>
      </w:tr>
      <w:tr>
        <w:trPr>
          <w:trHeight w:val="172"/>
        </w:trPr>
        <w:tc>
          <w:tcPr>
            <w:tcW w:w="20" w:type="dxa"/>
            <w:vAlign w:val="bottom"/>
          </w:tcPr>
          <w:p>
            <w:pPr>
              <w:spacing w:after="0"/>
              <w:rPr>
                <w:sz w:val="14"/>
                <w:szCs w:val="14"/>
                <w:color w:val="auto"/>
              </w:rPr>
            </w:pPr>
          </w:p>
        </w:tc>
        <w:tc>
          <w:tcPr>
            <w:tcW w:w="3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Stock-based compensation expense</w:t>
            </w:r>
            <w:r>
              <w:rPr>
                <w:rFonts w:ascii="Times New Roman" w:cs="Times New Roman" w:eastAsia="Times New Roman" w:hAnsi="Times New Roman"/>
                <w:sz w:val="19"/>
                <w:szCs w:val="19"/>
                <w:color w:val="auto"/>
                <w:vertAlign w:val="superscript"/>
              </w:rPr>
              <w:t>(1)</w:t>
            </w: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28,755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25,744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76,633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72,828</w:t>
            </w:r>
          </w:p>
        </w:tc>
      </w:tr>
      <w:tr>
        <w:trPr>
          <w:trHeight w:val="172"/>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acquired intangible assets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1,090</w:t>
            </w:r>
          </w:p>
        </w:tc>
      </w:tr>
      <w:tr>
        <w:trPr>
          <w:trHeight w:val="172"/>
        </w:trPr>
        <w:tc>
          <w:tcPr>
            <w:tcW w:w="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4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Non-GAAP Income (Loss) from Operations</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5,651</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1,895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(3,025)</w:t>
            </w:r>
          </w:p>
        </w:tc>
      </w:tr>
      <w:tr>
        <w:trPr>
          <w:trHeight w:val="172"/>
        </w:trPr>
        <w:tc>
          <w:tcPr>
            <w:tcW w:w="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Non-GAAP Income (Loss) from Operations Margin</w:t>
            </w: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-224155</wp:posOffset>
            </wp:positionV>
            <wp:extent cx="546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-224155</wp:posOffset>
            </wp:positionV>
            <wp:extent cx="5461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-224155</wp:posOffset>
            </wp:positionV>
            <wp:extent cx="5461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4" w:lineRule="exact"/>
        <w:rPr>
          <w:sz w:val="20"/>
          <w:szCs w:val="20"/>
          <w:color w:val="auto"/>
        </w:rPr>
      </w:pPr>
    </w:p>
    <w:p>
      <w:pPr>
        <w:ind w:left="900" w:hanging="262"/>
        <w:spacing w:after="0"/>
        <w:tabs>
          <w:tab w:leader="none" w:pos="90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Stock-based compensation expense-related charges include employer payroll tax-related expenses on employee stock transactions.</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Free Cash Flow and Free Cash Flow Margin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268"/>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288"/>
              <w:spacing w:after="0" w:line="14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(9,590)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(21,831)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69,578</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(66,826)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(12,461)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(20,562)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(112,893)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(39,614)</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3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7,131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4,957</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21,104</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16,989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Less: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(2,180)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Capitalization of internal-use software costs</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(3,259)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Free Cash Flow</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5,818</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3,352</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16,379</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12,294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Free Cash Flow Margin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1"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has primarily been attributed to implementation and training services. We recognize professional services revenue as services are delivered.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01"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Cost of revenue consists primarily of the cost of providing our platform to our customers and consists of third-party hosting fees, inference cost,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01"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Gross profit, or revenue less cost of revenue, and gross margin, or gross profit as a percentage of revenue, has been and will continue to be affected by various factors, including the timing of our acquisition of new customers, renewals of, and follow-on sales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8" w:name="page29"/>
    <w:bookmarkEnd w:id="28"/>
    <w:p>
      <w:pPr>
        <w:ind w:left="640" w:right="699"/>
        <w:spacing w:after="0" w:line="268" w:lineRule="auto"/>
        <w:rPr>
          <w:sz w:val="20"/>
          <w:szCs w:val="20"/>
          <w:color w:val="auto"/>
        </w:rPr>
      </w:pPr>
      <w:r>
        <w:rPr>
          <w:rFonts w:ascii="Times New Roman" w:cs="Times New Roman" w:eastAsia="Times New Roman" w:hAnsi="Times New Roman"/>
          <w:sz w:val="14"/>
          <w:szCs w:val="14"/>
          <w:color w:val="auto"/>
        </w:rPr>
        <w:t>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01"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Our operating expenses consist of research and development, sales and marketing, general and administrative expenses, and restructuring and other related charges.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01"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consist primarily of personnel and related expenses. These expenses also include third-party services and consulting expenses, software subscriptions, hosting expenses for research and development activities, product design costs not qualifying for capitalization as internal-use software,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01"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54"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continue to make strategic investments in our sales and marketing organization, and we expect sales and marketing expenses to remain our largest operating expense in dollar amount. We expect our sales and marketing expenses to continue to increase in dollar amounts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0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54"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Restructuring and other related charges</w:t>
      </w:r>
    </w:p>
    <w:p>
      <w:pPr>
        <w:spacing w:after="0" w:line="101"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Restructuring and other related charges consists of charges related to employee transition, severance payments, employee benefits and stock-based compensation. Restructuring excludes allocated overhead costs. See Note 11 to our condensed consolidated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9" w:name="page30"/>
    <w:bookmarkEnd w:id="29"/>
    <w:p>
      <w:pPr>
        <w:ind w:left="640" w:right="1459"/>
        <w:spacing w:after="0" w:line="292" w:lineRule="auto"/>
        <w:rPr>
          <w:sz w:val="20"/>
          <w:szCs w:val="20"/>
          <w:color w:val="auto"/>
        </w:rPr>
      </w:pPr>
      <w:r>
        <w:rPr>
          <w:rFonts w:ascii="Times New Roman" w:cs="Times New Roman" w:eastAsia="Times New Roman" w:hAnsi="Times New Roman"/>
          <w:sz w:val="14"/>
          <w:szCs w:val="14"/>
          <w:color w:val="auto"/>
        </w:rPr>
        <w:t>financial statements included in Part I, Item 1 of this Quarterly Report on Form 10-Q for further information on the 2026 Restructuring Program.</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640" w:right="1039" w:firstLine="351"/>
        <w:spacing w:after="0" w:line="292"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on our cash, cash equivalents, and marketable securities holdings and foreign currency transaction gains and losses.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Provision for (Benefit from) Income Taxes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The period-to-period comparison of financial results is not necessarily indicative of financial results to be achieved in future periods.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172"/>
        </w:trPr>
        <w:tc>
          <w:tcPr>
            <w:tcW w:w="20" w:type="dxa"/>
            <w:vAlign w:val="bottom"/>
          </w:tcPr>
          <w:p>
            <w:pPr>
              <w:spacing w:after="0"/>
              <w:rPr>
                <w:sz w:val="14"/>
                <w:szCs w:val="14"/>
                <w:color w:val="auto"/>
              </w:rPr>
            </w:pPr>
          </w:p>
        </w:tc>
        <w:tc>
          <w:tcPr>
            <w:tcW w:w="3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110,644</w:t>
            </w:r>
          </w:p>
        </w:tc>
        <w:tc>
          <w:tcPr>
            <w:tcW w:w="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88,564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305,023</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251,788</w:t>
            </w:r>
          </w:p>
        </w:tc>
      </w:tr>
      <w:tr>
        <w:trPr>
          <w:trHeight w:val="172"/>
        </w:trPr>
        <w:tc>
          <w:tcPr>
            <w:tcW w:w="20" w:type="dxa"/>
            <w:vAlign w:val="bottom"/>
          </w:tcPr>
          <w:p>
            <w:pPr>
              <w:spacing w:after="0"/>
              <w:rPr>
                <w:sz w:val="14"/>
                <w:szCs w:val="14"/>
                <w:color w:val="auto"/>
              </w:rPr>
            </w:pPr>
          </w:p>
        </w:tc>
        <w:tc>
          <w:tcPr>
            <w:tcW w:w="398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36,250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23,074</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93,244</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66,091</w:t>
            </w:r>
          </w:p>
        </w:tc>
      </w:tr>
      <w:tr>
        <w:trPr>
          <w:trHeight w:val="163"/>
        </w:trPr>
        <w:tc>
          <w:tcPr>
            <w:tcW w:w="20" w:type="dxa"/>
            <w:vAlign w:val="bottom"/>
          </w:tcPr>
          <w:p>
            <w:pPr>
              <w:spacing w:after="0"/>
              <w:rPr>
                <w:sz w:val="14"/>
                <w:szCs w:val="14"/>
                <w:color w:val="auto"/>
              </w:rPr>
            </w:pPr>
          </w:p>
        </w:tc>
        <w:tc>
          <w:tcPr>
            <w:tcW w:w="39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74,394</w:t>
            </w: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65,490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211,779</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185,697</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tcBorders>
              <w:right w:val="single" w:sz="8" w:color="CFF0FC"/>
            </w:tcBorders>
            <w:shd w:val="clear" w:color="auto" w:fill="CFF0FC"/>
          </w:tcPr>
          <w:p>
            <w:pPr>
              <w:ind w:left="120"/>
              <w:spacing w:after="0" w:line="172"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9"/>
                <w:szCs w:val="19"/>
                <w:color w:val="auto"/>
                <w:vertAlign w:val="superscript"/>
              </w:rPr>
              <w:t>(1)</w:t>
            </w: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33,507</w:t>
            </w: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26,612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92,484</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74,239</w:t>
            </w:r>
          </w:p>
        </w:tc>
      </w:tr>
      <w:tr>
        <w:trPr>
          <w:trHeight w:val="172"/>
        </w:trPr>
        <w:tc>
          <w:tcPr>
            <w:tcW w:w="20" w:type="dxa"/>
            <w:vAlign w:val="bottom"/>
          </w:tcPr>
          <w:p>
            <w:pPr>
              <w:spacing w:after="0"/>
              <w:rPr>
                <w:sz w:val="14"/>
                <w:szCs w:val="14"/>
                <w:color w:val="auto"/>
              </w:rPr>
            </w:pPr>
          </w:p>
        </w:tc>
        <w:tc>
          <w:tcPr>
            <w:tcW w:w="3980" w:type="dxa"/>
            <w:vAlign w:val="bottom"/>
          </w:tcPr>
          <w:p>
            <w:pPr>
              <w:ind w:left="120"/>
              <w:spacing w:after="0" w:line="172"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48,296</w:t>
            </w:r>
          </w:p>
        </w:tc>
        <w:tc>
          <w:tcPr>
            <w:tcW w:w="1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48,306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148,256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139,407</w:t>
            </w:r>
          </w:p>
        </w:tc>
      </w:tr>
      <w:tr>
        <w:trPr>
          <w:trHeight w:val="172"/>
        </w:trPr>
        <w:tc>
          <w:tcPr>
            <w:tcW w:w="20" w:type="dxa"/>
            <w:vAlign w:val="bottom"/>
          </w:tcPr>
          <w:p>
            <w:pPr>
              <w:spacing w:after="0"/>
              <w:rPr>
                <w:sz w:val="14"/>
                <w:szCs w:val="14"/>
                <w:color w:val="auto"/>
              </w:rPr>
            </w:pPr>
          </w:p>
        </w:tc>
        <w:tc>
          <w:tcPr>
            <w:tcW w:w="3980" w:type="dxa"/>
            <w:vAlign w:val="bottom"/>
            <w:tcBorders>
              <w:right w:val="single" w:sz="8" w:color="CFF0FC"/>
            </w:tcBorders>
            <w:shd w:val="clear" w:color="auto" w:fill="CFF0FC"/>
          </w:tcPr>
          <w:p>
            <w:pPr>
              <w:ind w:left="120"/>
              <w:spacing w:after="0" w:line="172"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9"/>
                <w:szCs w:val="19"/>
                <w:color w:val="auto"/>
                <w:vertAlign w:val="superscript"/>
              </w:rPr>
              <w:t>(1)</w:t>
            </w: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17,213</w:t>
            </w: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16,222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52,041</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48,994</w:t>
            </w:r>
          </w:p>
        </w:tc>
      </w:tr>
      <w:tr>
        <w:trPr>
          <w:trHeight w:val="172"/>
        </w:trPr>
        <w:tc>
          <w:tcPr>
            <w:tcW w:w="20" w:type="dxa"/>
            <w:vAlign w:val="bottom"/>
          </w:tcPr>
          <w:p>
            <w:pPr>
              <w:spacing w:after="0"/>
              <w:rPr>
                <w:sz w:val="14"/>
                <w:szCs w:val="14"/>
                <w:color w:val="auto"/>
              </w:rPr>
            </w:pPr>
          </w:p>
        </w:tc>
        <w:tc>
          <w:tcPr>
            <w:tcW w:w="3980" w:type="dxa"/>
            <w:vAlign w:val="bottom"/>
          </w:tcPr>
          <w:p>
            <w:pPr>
              <w:ind w:left="120"/>
              <w:spacing w:after="0" w:line="172" w:lineRule="exact"/>
              <w:rPr>
                <w:sz w:val="20"/>
                <w:szCs w:val="20"/>
                <w:color w:val="auto"/>
              </w:rPr>
            </w:pPr>
            <w:r>
              <w:rPr>
                <w:rFonts w:ascii="Times New Roman" w:cs="Times New Roman" w:eastAsia="Times New Roman" w:hAnsi="Times New Roman"/>
                <w:sz w:val="14"/>
                <w:szCs w:val="14"/>
                <w:color w:val="auto"/>
              </w:rPr>
              <w:t>Restructuring and other related charges</w:t>
            </w:r>
            <w:r>
              <w:rPr>
                <w:rFonts w:ascii="Times New Roman" w:cs="Times New Roman" w:eastAsia="Times New Roman" w:hAnsi="Times New Roman"/>
                <w:sz w:val="19"/>
                <w:szCs w:val="19"/>
                <w:color w:val="auto"/>
                <w:vertAlign w:val="superscript"/>
              </w:rPr>
              <w:t>(2)</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2,934</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39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99,016</w:t>
            </w: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91,140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295,715</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262,640</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(24,622)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(83,936)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(76,943)</w:t>
            </w:r>
          </w:p>
        </w:tc>
      </w:tr>
      <w:tr>
        <w:trPr>
          <w:trHeight w:val="172"/>
        </w:trPr>
        <w:tc>
          <w:tcPr>
            <w:tcW w:w="20" w:type="dxa"/>
            <w:vAlign w:val="bottom"/>
          </w:tcPr>
          <w:p>
            <w:pPr>
              <w:spacing w:after="0"/>
              <w:rPr>
                <w:sz w:val="14"/>
                <w:szCs w:val="14"/>
                <w:color w:val="auto"/>
              </w:rPr>
            </w:pPr>
          </w:p>
        </w:tc>
        <w:tc>
          <w:tcPr>
            <w:tcW w:w="39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1,207</w:t>
            </w: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4,929</w:t>
            </w:r>
          </w:p>
        </w:tc>
        <w:tc>
          <w:tcPr>
            <w:tcW w:w="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8,317</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(23,415)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(79,007)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(68,626)</w:t>
            </w:r>
          </w:p>
        </w:tc>
      </w:tr>
      <w:tr>
        <w:trPr>
          <w:trHeight w:val="172"/>
        </w:trPr>
        <w:tc>
          <w:tcPr>
            <w:tcW w:w="20" w:type="dxa"/>
            <w:vAlign w:val="bottom"/>
          </w:tcPr>
          <w:p>
            <w:pPr>
              <w:spacing w:after="0"/>
              <w:rPr>
                <w:sz w:val="14"/>
                <w:szCs w:val="14"/>
                <w:color w:val="auto"/>
              </w:rPr>
            </w:pPr>
          </w:p>
        </w:tc>
        <w:tc>
          <w:tcPr>
            <w:tcW w:w="39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1,109</w:t>
            </w: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3,408</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2,259</w:t>
            </w:r>
          </w:p>
        </w:tc>
      </w:tr>
      <w:tr>
        <w:trPr>
          <w:trHeight w:val="186"/>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(24,524)</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(82,415)</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(70,885)</w:t>
            </w:r>
          </w:p>
        </w:tc>
      </w:tr>
      <w:tr>
        <w:trPr>
          <w:trHeight w:val="289"/>
        </w:trPr>
        <w:tc>
          <w:tcPr>
            <w:tcW w:w="4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  Amounts include stock-based compensation expense as follows: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172"/>
        </w:trPr>
        <w:tc>
          <w:tcPr>
            <w:tcW w:w="20" w:type="dxa"/>
            <w:vAlign w:val="bottom"/>
          </w:tcPr>
          <w:p>
            <w:pPr>
              <w:spacing w:after="0"/>
              <w:rPr>
                <w:sz w:val="14"/>
                <w:szCs w:val="14"/>
                <w:color w:val="auto"/>
              </w:rPr>
            </w:pPr>
          </w:p>
        </w:tc>
        <w:tc>
          <w:tcPr>
            <w:tcW w:w="3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2,003</w:t>
            </w:r>
          </w:p>
        </w:tc>
        <w:tc>
          <w:tcPr>
            <w:tcW w:w="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1,405</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4,754</w:t>
            </w: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4,141</w:t>
            </w: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10,524</w:t>
            </w: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26,225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25,294</w:t>
            </w:r>
          </w:p>
        </w:tc>
      </w:tr>
      <w:tr>
        <w:trPr>
          <w:trHeight w:val="172"/>
        </w:trPr>
        <w:tc>
          <w:tcPr>
            <w:tcW w:w="20" w:type="dxa"/>
            <w:vAlign w:val="bottom"/>
          </w:tcPr>
          <w:p>
            <w:pPr>
              <w:spacing w:after="0"/>
              <w:rPr>
                <w:sz w:val="14"/>
                <w:szCs w:val="14"/>
                <w:color w:val="auto"/>
              </w:rPr>
            </w:pPr>
          </w:p>
        </w:tc>
        <w:tc>
          <w:tcPr>
            <w:tcW w:w="3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10,054</w:t>
            </w: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10,034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28,849</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27,593</w:t>
            </w: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5,120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4,546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14,639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13,190</w:t>
            </w:r>
          </w:p>
        </w:tc>
      </w:tr>
      <w:tr>
        <w:trPr>
          <w:trHeight w:val="183"/>
        </w:trPr>
        <w:tc>
          <w:tcPr>
            <w:tcW w:w="20" w:type="dxa"/>
            <w:vAlign w:val="bottom"/>
          </w:tcPr>
          <w:p>
            <w:pPr>
              <w:spacing w:after="0"/>
              <w:rPr>
                <w:sz w:val="15"/>
                <w:szCs w:val="15"/>
                <w:color w:val="auto"/>
              </w:rPr>
            </w:pPr>
          </w:p>
        </w:tc>
        <w:tc>
          <w:tcPr>
            <w:tcW w:w="3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27,701</w:t>
            </w:r>
          </w:p>
        </w:tc>
        <w:tc>
          <w:tcPr>
            <w:tcW w:w="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25,116</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74,467</w:t>
            </w: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70,218</w:t>
            </w: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-2488565</wp:posOffset>
            </wp:positionV>
            <wp:extent cx="5461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-2488565</wp:posOffset>
            </wp:positionV>
            <wp:extent cx="5461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-2488565</wp:posOffset>
            </wp:positionV>
            <wp:extent cx="546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-1819910</wp:posOffset>
            </wp:positionV>
            <wp:extent cx="546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-1819910</wp:posOffset>
            </wp:positionV>
            <wp:extent cx="5461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-1819910</wp:posOffset>
            </wp:positionV>
            <wp:extent cx="5461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-1595120</wp:posOffset>
            </wp:positionV>
            <wp:extent cx="5461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-1595120</wp:posOffset>
            </wp:positionV>
            <wp:extent cx="5461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-1595120</wp:posOffset>
            </wp:positionV>
            <wp:extent cx="5461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-19685</wp:posOffset>
            </wp:positionV>
            <wp:extent cx="5461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-6350</wp:posOffset>
            </wp:positionV>
            <wp:extent cx="5461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-19685</wp:posOffset>
            </wp:positionV>
            <wp:extent cx="546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-6350</wp:posOffset>
            </wp:positionV>
            <wp:extent cx="5461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-19685</wp:posOffset>
            </wp:positionV>
            <wp:extent cx="546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-6350</wp:posOffset>
            </wp:positionV>
            <wp:extent cx="5461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4" w:lineRule="exact"/>
        <w:rPr>
          <w:sz w:val="20"/>
          <w:szCs w:val="20"/>
          <w:color w:val="auto"/>
        </w:rPr>
      </w:pPr>
    </w:p>
    <w:p>
      <w:pPr>
        <w:ind w:left="980" w:right="719" w:hanging="342"/>
        <w:spacing w:after="0" w:line="264" w:lineRule="auto"/>
        <w:tabs>
          <w:tab w:leader="none" w:pos="98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Nine months ended September 30, 2026 balance reflects a $0.8 million reclassification of restructuring expenses incurred in the first quarter of 2026 from Sales and Marketing and General and Administrative expenses to Restructuring and Other Related Charges.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0" w:name="page31"/>
    <w:bookmarkEnd w:id="30"/>
    <w:p>
      <w:pPr>
        <w:ind w:left="640" w:right="879" w:firstLine="516"/>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components of our condensed consolidated statements of operations and comprehensive loss data, for each of the periods presented, as a percentage of revenue.</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4"/>
                <w:szCs w:val="14"/>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4"/>
        </w:trPr>
        <w:tc>
          <w:tcPr>
            <w:tcW w:w="3840" w:type="dxa"/>
            <w:vAlign w:val="bottom"/>
            <w:gridSpan w:val="2"/>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63"/>
        </w:trPr>
        <w:tc>
          <w:tcPr>
            <w:tcW w:w="20" w:type="dxa"/>
            <w:vAlign w:val="bottom"/>
          </w:tcPr>
          <w:p>
            <w:pPr>
              <w:spacing w:after="0"/>
              <w:rPr>
                <w:sz w:val="14"/>
                <w:szCs w:val="14"/>
                <w:color w:val="auto"/>
              </w:rPr>
            </w:pP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4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9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2"/>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w:t>
            </w:r>
          </w:p>
        </w:tc>
      </w:tr>
      <w:tr>
        <w:trPr>
          <w:trHeight w:val="163"/>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56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74%</w:t>
            </w:r>
          </w:p>
        </w:tc>
      </w:tr>
      <w:tr>
        <w:trPr>
          <w:trHeight w:val="163"/>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20" w:type="dxa"/>
            <w:vAlign w:val="bottom"/>
          </w:tcPr>
          <w:p>
            <w:pPr>
              <w:spacing w:after="0"/>
              <w:rPr>
                <w:sz w:val="14"/>
                <w:szCs w:val="14"/>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55%</w:t>
            </w:r>
          </w:p>
        </w:tc>
      </w:tr>
      <w:tr>
        <w:trPr>
          <w:trHeight w:val="172"/>
        </w:trPr>
        <w:tc>
          <w:tcPr>
            <w:tcW w:w="20" w:type="dxa"/>
            <w:vAlign w:val="bottom"/>
          </w:tcPr>
          <w:p>
            <w:pPr>
              <w:spacing w:after="0"/>
              <w:rPr>
                <w:sz w:val="14"/>
                <w:szCs w:val="14"/>
                <w:color w:val="auto"/>
              </w:rPr>
            </w:pPr>
          </w:p>
        </w:tc>
        <w:tc>
          <w:tcPr>
            <w:tcW w:w="4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9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19%</w:t>
            </w:r>
          </w:p>
        </w:tc>
      </w:tr>
      <w:tr>
        <w:trPr>
          <w:trHeight w:val="172"/>
        </w:trPr>
        <w:tc>
          <w:tcPr>
            <w:tcW w:w="2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6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r>
      <w:tr>
        <w:trPr>
          <w:trHeight w:val="163"/>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20" w:type="dxa"/>
            <w:vAlign w:val="bottom"/>
          </w:tcPr>
          <w:p>
            <w:pPr>
              <w:spacing w:after="0"/>
              <w:rPr>
                <w:sz w:val="14"/>
                <w:szCs w:val="14"/>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56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63"/>
        </w:trPr>
        <w:tc>
          <w:tcPr>
            <w:tcW w:w="20" w:type="dxa"/>
            <w:vAlign w:val="bottom"/>
          </w:tcPr>
          <w:p>
            <w:pPr>
              <w:spacing w:after="0"/>
              <w:rPr>
                <w:sz w:val="14"/>
                <w:szCs w:val="14"/>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20" w:type="dxa"/>
            <w:vAlign w:val="bottom"/>
          </w:tcPr>
          <w:p>
            <w:pPr>
              <w:spacing w:after="0"/>
              <w:rPr>
                <w:sz w:val="14"/>
                <w:szCs w:val="14"/>
                <w:color w:val="auto"/>
              </w:rPr>
            </w:pP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186"/>
        </w:trPr>
        <w:tc>
          <w:tcPr>
            <w:tcW w:w="2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-1235710</wp:posOffset>
            </wp:positionV>
            <wp:extent cx="546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-1235710</wp:posOffset>
            </wp:positionV>
            <wp:extent cx="476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-1235710</wp:posOffset>
            </wp:positionV>
            <wp:extent cx="546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-567055</wp:posOffset>
            </wp:positionV>
            <wp:extent cx="546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-567055</wp:posOffset>
            </wp:positionV>
            <wp:extent cx="4762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-567055</wp:posOffset>
            </wp:positionV>
            <wp:extent cx="546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-342265</wp:posOffset>
            </wp:positionV>
            <wp:extent cx="5461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-342265</wp:posOffset>
            </wp:positionV>
            <wp:extent cx="476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-342265</wp:posOffset>
            </wp:positionV>
            <wp:extent cx="5461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color w:val="auto"/>
        </w:rPr>
        <w:t>Note: Certain figures may not sum due to rounding.</w:t>
      </w:r>
    </w:p>
    <w:p>
      <w:pPr>
        <w:spacing w:after="0" w:line="282"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110,644</w:t>
            </w: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88,564</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22,080</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27"/>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305,023</w:t>
            </w: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251,788</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53,235</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Revenue increased by $22.1 million, or 25%, and $53.2 million, or 21%, for the three and nine months ended September 30, 2026 compared to the three and nine months ended September 30, 2025, respectively. The increases were primarily driven by growth in our paying customer base, expansion within our existing customer base, and customer contracts acquired from Statsig; partially offset by customer churn which was lower than our expansion of existing customers as reflected by our NRR (TTM) of 104% as of September 30, 2026.</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420" w:type="dxa"/>
            <w:vAlign w:val="bottom"/>
            <w:gridSpan w:val="2"/>
          </w:tcPr>
          <w:p>
            <w:pPr>
              <w:ind w:left="520"/>
              <w:spacing w:after="0"/>
              <w:rPr>
                <w:sz w:val="20"/>
                <w:szCs w:val="20"/>
                <w:color w:val="auto"/>
              </w:rPr>
            </w:pPr>
            <w:r>
              <w:rPr>
                <w:rFonts w:ascii="Times New Roman" w:cs="Times New Roman" w:eastAsia="Times New Roman" w:hAnsi="Times New Roman"/>
                <w:sz w:val="14"/>
                <w:szCs w:val="14"/>
                <w:i w:val="1"/>
                <w:iCs w:val="1"/>
                <w:color w:val="auto"/>
              </w:rPr>
              <w:t>Cost of Revenue and Gross Margin</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vMerge w:val="restart"/>
          </w:tcPr>
          <w:p>
            <w:pPr>
              <w:spacing w:after="0"/>
              <w:rPr>
                <w:sz w:val="16"/>
                <w:szCs w:val="16"/>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36,250</w:t>
            </w:r>
          </w:p>
        </w:tc>
        <w:tc>
          <w:tcPr>
            <w:tcW w:w="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23,074</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13,176</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2"/>
        </w:trPr>
        <w:tc>
          <w:tcPr>
            <w:tcW w:w="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1" w:name="page32"/>
    <w:bookmarkEnd w:id="31"/>
    <w:tbl>
      <w:tblPr>
        <w:tblLayout w:type="fixed"/>
        <w:tblInd w:w="64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vMerge w:val="restart"/>
          </w:tcPr>
          <w:p>
            <w:pPr>
              <w:spacing w:after="0"/>
              <w:rPr>
                <w:sz w:val="16"/>
                <w:szCs w:val="16"/>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93,244</w:t>
            </w:r>
          </w:p>
        </w:tc>
        <w:tc>
          <w:tcPr>
            <w:tcW w:w="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66,091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27,153</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Cost of revenue increased $13.2 million, or 57%, and $27.2 million, or 41%, for the three and nine months ended September 30, 2026, respectively, compared to the three and nine months ended September 30, 2025. The increases were primarily driven by a $9.6 million and $18.9 million increase, respectively, in third-party hosting and inference costs, as we increased capacity to support paying customer usage and growth in our paying customer base, including the customers acquired from Statsig; a $2.2 million and $5.1 million increase, respectively, in personnel and services-related costs, a $0.8 million and $2.4 million increase, respectively, in amortization expense, and a $0.6 million increase in stock-based compensation expense for each respective period.</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gridSpan w:val="2"/>
            <w:vMerge w:val="restart"/>
          </w:tcPr>
          <w:p>
            <w:pPr>
              <w:spacing w:after="0"/>
              <w:rPr>
                <w:sz w:val="16"/>
                <w:szCs w:val="16"/>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gridSpan w:val="2"/>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9"/>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33,507</w:t>
            </w: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26,612</w:t>
            </w: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6,895</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48,296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48,306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17,213</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16,222</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991</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gridSpan w:val="2"/>
          </w:tcPr>
          <w:p>
            <w:pPr>
              <w:spacing w:after="0"/>
              <w:rPr>
                <w:sz w:val="14"/>
                <w:szCs w:val="14"/>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99,016</w:t>
            </w: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91,140</w:t>
            </w: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7,876</w:t>
            </w: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6"/>
                <w:szCs w:val="16"/>
                <w:color w:val="auto"/>
              </w:rPr>
            </w:pPr>
          </w:p>
        </w:tc>
        <w:tc>
          <w:tcPr>
            <w:tcW w:w="8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(in thousands, except percentages)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92,484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74,239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18,245</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148,256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139,407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52,041</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48,994</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3,047</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2,934</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2,934</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tcBorders>
              <w:bottom w:val="single" w:sz="8" w:color="CFF0FC"/>
              <w:right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295,715</w:t>
            </w: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262,640</w:t>
            </w: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33,075</w:t>
            </w:r>
          </w:p>
        </w:tc>
        <w:tc>
          <w:tcPr>
            <w:tcW w:w="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-1151890</wp:posOffset>
            </wp:positionV>
            <wp:extent cx="5461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-1137920</wp:posOffset>
            </wp:positionV>
            <wp:extent cx="5461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-1151890</wp:posOffset>
            </wp:positionV>
            <wp:extent cx="5461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-1137920</wp:posOffset>
            </wp:positionV>
            <wp:extent cx="5461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-1151890</wp:posOffset>
            </wp:positionV>
            <wp:extent cx="476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-1137920</wp:posOffset>
            </wp:positionV>
            <wp:extent cx="4762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-19685</wp:posOffset>
            </wp:positionV>
            <wp:extent cx="5461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-6350</wp:posOffset>
            </wp:positionV>
            <wp:extent cx="546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-19685</wp:posOffset>
            </wp:positionV>
            <wp:extent cx="5461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-6350</wp:posOffset>
            </wp:positionV>
            <wp:extent cx="5461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-19685</wp:posOffset>
            </wp:positionV>
            <wp:extent cx="4762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-6350</wp:posOffset>
            </wp:positionV>
            <wp:extent cx="4762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9" w:lineRule="exact"/>
        <w:rPr>
          <w:sz w:val="20"/>
          <w:szCs w:val="20"/>
          <w:color w:val="auto"/>
        </w:rPr>
      </w:pPr>
    </w:p>
    <w:p>
      <w:pPr>
        <w:ind w:left="640" w:right="819" w:firstLine="351"/>
        <w:spacing w:after="0" w:line="262" w:lineRule="auto"/>
        <w:rPr>
          <w:sz w:val="20"/>
          <w:szCs w:val="20"/>
          <w:color w:val="auto"/>
        </w:rPr>
      </w:pPr>
      <w:r>
        <w:rPr>
          <w:rFonts w:ascii="Times New Roman" w:cs="Times New Roman" w:eastAsia="Times New Roman" w:hAnsi="Times New Roman"/>
          <w:sz w:val="14"/>
          <w:szCs w:val="14"/>
          <w:color w:val="auto"/>
        </w:rPr>
        <w:t>Research and development expenses increased by $6.9 million, or 26%, and $18.2 million, or 25%, for the three and nine months ended September 30, 2026, respectively, compared to the three and nine months ended September 30, 2025. The increases were primarily driven by a $2.1 million and $7.4 million increase, respectively, in personnel-related costs, primarily reflecting year-over-year growth in research and development headcount; a $1.7 million and $2.9 million increase, respectively, in hosting and inference costs; a $0.7 million and $1.8 million increase, respectively, in expense resulting from lower capitalization of internal-use software development costs; a $0.2 million and $3.8 million increase, respectively, in consulting costs; and a $1.4 million and $0.9 million increase, respectively, in stock-based compensation expense.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9"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Sales and marketing expenses decreased by less than $0.1 million, or less than 1%, and increased by $8.8 million, or 6%, for the three and nine months ended September 30, 2026, respectively, compared to the three and nine months ended September 30, 2025. The changes were primarily driven by a $0.9 million and $2.4 million increase, respectively, in commission expense including amortization of capitalized commission; a $0.3 million and $1.4 million increase, respectively, in travel costs; a $0.1 million and $1.3 million increase, respectively, in stock-based compensation expense; and a $0.9 million and $2.5 million increase, respectively, in other operating costs, primarily related to sales and marketing programs and consulting services. These increases were partially offset by a $0.3 million and $1.6 million decrease, respectively, in bonus expenses. Personnel-related costs decreased by $1.8 million for the three-month period and increased by $2.8 million for the nine-month period driven by changes in headcount.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9" w:lineRule="exact"/>
        <w:rPr>
          <w:sz w:val="20"/>
          <w:szCs w:val="20"/>
          <w:color w:val="auto"/>
        </w:rPr>
      </w:pPr>
    </w:p>
    <w:p>
      <w:pPr>
        <w:ind w:left="640" w:right="839" w:firstLine="351"/>
        <w:spacing w:after="0" w:line="265" w:lineRule="auto"/>
        <w:rPr>
          <w:sz w:val="20"/>
          <w:szCs w:val="20"/>
          <w:color w:val="auto"/>
        </w:rPr>
      </w:pPr>
      <w:r>
        <w:rPr>
          <w:rFonts w:ascii="Times New Roman" w:cs="Times New Roman" w:eastAsia="Times New Roman" w:hAnsi="Times New Roman"/>
          <w:sz w:val="14"/>
          <w:szCs w:val="14"/>
          <w:color w:val="auto"/>
        </w:rPr>
        <w:t>General and administrative expenses increased by $1.0 million, or 6%, and $3.0 million, or 6%, for the three and nine months ended September 30, 2026, respectively, compared to the three and nine months ended September 30, 2025. The increases were primarily driven by a $1.6 million and $2.7 million increase, respectively, in software subscription costs; a $0.6 million and $1.4 million increase, respectively, in stock-based compensation expense; and a $0.4 million increase in bad debt expense in each respective period, partially offset by a $1.6 million and $1.5 million decrease, respectively, in personnel-related costs.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Restructuring and other related charges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did not incur any restructuring and other related charges during the three months ended September 30, 2026. During the nine months ended September 30, 2026, we incurred $2.9 million of restructuring and other related charges, consisting primarily of employee severance and related benefits in connection with the 2026 Restructuring Program.</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2,590</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327"/>
        </w:trPr>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4,929</w:t>
            </w:r>
          </w:p>
        </w:tc>
        <w:tc>
          <w:tcPr>
            <w:tcW w:w="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8,317</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Other income (expense), net decreased $1.4 million, or 53%, and $3.4 million, or 41%, for the three and nine months ended September 30, 2026, respectively, compared to the three and nine months ended September 30, 2025. The decreases were primarily driven by lower average invested balances following the sales and maturities of investments.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Provision for (Benefit from) Income Taxes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926</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27"/>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2,259</w:t>
            </w:r>
          </w:p>
        </w:tc>
        <w:tc>
          <w:tcPr>
            <w:tcW w:w="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Provision for (benefit from) income taxes increased $0.2 million, or 20%, and $1.1 million, or 51%, for the three and nine months ended September 30, 2026, respectively, compared to the three and nine months ended September 30, 2025. The increases were primarily driven by an increase in foreign taxes.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$628.8 million as of September 30, 2026. We generated positive cash flows from operating activities for the nine months ended September 30, 2026, and during the years ended December 31, 2025 and 2024.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32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As of September 30, 2026, our principal sources of liquidity were cash and cash equivalents of $58.9 million. We also had $95.4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September 30, 2026, we had $166.0 million of deferred revenue, all of which was recorded as a current liability. This deferred revenue will be recognized as revenue when or as the related performance obligations are met.</w:t>
      </w:r>
    </w:p>
    <w:p>
      <w:pPr>
        <w:spacing w:after="0" w:line="144"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following table shows a summary of our cash flows for the periods presented: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28"/>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63"/>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21,104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16,989</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69,578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(66,826)</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(112,893)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(39,614)</w:t>
            </w:r>
          </w:p>
        </w:tc>
      </w:tr>
    </w:tbl>
    <w:p>
      <w:pPr>
        <w:spacing w:after="0" w:line="2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largest source of operating cash is cash collection from sales of subscriptions to our paying customers. Our primary uses of cash from operating activities are for personnel and related expenses, marketing expenses, and third-party hosting-related and software expenses.</w:t>
      </w:r>
    </w:p>
    <w:p>
      <w:pPr>
        <w:spacing w:after="0" w:line="50"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auto"/>
        </w:rPr>
        <w:t>Net cash provided by operating activities of $21.1 million for the nine months ended September 30, 2026 reflects our net loss of $82.4 million, adjusted by non-cash items of $89.4 million, consisting primarily of stock-based compensation expense of $74.5 million, depreciation and amortization of $9.6 million, non-cash operating lease costs of $3.2 million, bad debt expense of $0.9 million, and other non-cash adjustments of $1.2 million. Operating assets and liabilities provided $14.1 million of net cash. The primary sources of cash were a $25.9 million increase in deferred revenue, a $7.8 million increase in accrued expenses, and a $1.8 million increase in accounts payable. These sources were partially offset by a $9.3 million increase in accounts receivable, an $8.1 million increase in deferred commissions, a $2.7 million increase in prepaid expenses and other current assets, and a $1.7 million decrease in operating lease liabilities.</w:t>
      </w:r>
    </w:p>
    <w:p>
      <w:pPr>
        <w:spacing w:after="0" w:line="60"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Net cash provided by operating activities of $17.0 million for the nine months ended September 30, 2025 reflects our net loss of $70.9 million, adjusted by non-cash items of $81.7 million, consisting primarily of stock-based compensation expense of $70.2 million, depreciation and amortization of $7.1 million, non-cash operating lease costs of $3.3 million, and other non-cash adjustments of $1.0 million. Operating assets and liabilities provided $6.2 million of net cash. The primary sources of cash were a $13.3 million net increase in cash from changes in accounts receivable and deferred revenue, reflecting collections outpacing revenue recognized, and a $7.5 million net increase in accrued expenses and accounts payable. These sources were partially offset by a $7.0 million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4" w:name="page35"/>
    <w:bookmarkEnd w:id="34"/>
    <w:p>
      <w:pPr>
        <w:ind w:left="640" w:right="679"/>
        <w:spacing w:after="0" w:line="292" w:lineRule="auto"/>
        <w:rPr>
          <w:sz w:val="20"/>
          <w:szCs w:val="20"/>
          <w:color w:val="auto"/>
        </w:rPr>
      </w:pPr>
      <w:r>
        <w:rPr>
          <w:rFonts w:ascii="Times New Roman" w:cs="Times New Roman" w:eastAsia="Times New Roman" w:hAnsi="Times New Roman"/>
          <w:sz w:val="14"/>
          <w:szCs w:val="14"/>
          <w:color w:val="auto"/>
        </w:rPr>
        <w:t>increase in deferred commissions, a $4.1 million decrease in operating lease liabilities, and a $3.5 million increase in prepaid expenses and other current and noncurrent assets.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01" w:lineRule="exact"/>
        <w:rPr>
          <w:sz w:val="20"/>
          <w:szCs w:val="20"/>
          <w:color w:val="auto"/>
        </w:rPr>
      </w:pPr>
    </w:p>
    <w:p>
      <w:pPr>
        <w:ind w:left="640" w:right="939" w:firstLine="351"/>
        <w:spacing w:after="0" w:line="265" w:lineRule="auto"/>
        <w:rPr>
          <w:sz w:val="20"/>
          <w:szCs w:val="20"/>
          <w:color w:val="auto"/>
        </w:rPr>
      </w:pPr>
      <w:r>
        <w:rPr>
          <w:rFonts w:ascii="Times New Roman" w:cs="Times New Roman" w:eastAsia="Times New Roman" w:hAnsi="Times New Roman"/>
          <w:sz w:val="14"/>
          <w:szCs w:val="14"/>
          <w:color w:val="auto"/>
        </w:rPr>
        <w:t>Net cash provided by investing activities of $69.6 million for the nine months ended September 30, 2026 consisted of $56.8 million of cash received from sales of marketable securities and $56.6 million of cash received from maturities of marketable securities. These proceeds were partially offset by $39.0 million of purchases of marketable securities, $2.5 million of capitalized internal-use software development costs, $2.2 million of purchases of property and equipment, and $0.2 million of bridge-loan issuances.</w:t>
      </w:r>
    </w:p>
    <w:p>
      <w:pPr>
        <w:spacing w:after="0" w:line="56"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Net cash used in investing activities of $66.8 million for the nine months ended September 30, 2025 consisted of $100.3 million of purchases of marketable securities, $3.3 million of capitalized internal-use software development costs, $3.1 million in cash paid for an acquisition, and $1.4 million in purchases of property and equipment. These decreases were partially offset by $41.3 million of cash received from the maturities of marketable securities.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Net cash used in financing activities of $112.9 million for the nine months ended September 30, 2026 primarily consisted of</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$89.5 million of common-stock repurchases, $25.7 million of net tax remittances on equity awards, $0.7 million of excise tax paid on</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share repurchases, and $0.4 million paid for acquisition holdbacks. These uses were partially offset by $3.3 million of proceeds from</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stock-option exercises.</w:t>
      </w:r>
    </w:p>
    <w:p>
      <w:pPr>
        <w:spacing w:after="0" w:line="83"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of $39.6 million for the nine months ended September 30, 2025 consisted of $29.3 million in net tax remittance on equity awards related to the vesting of RSU awards under a withhold-to-cover method and $14.3 million in repurchases of common stock. These decreases were partially offset by $4.0 million in proceeds from the exercise of stock options.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Remaining Performance Obligations</w:t>
      </w:r>
    </w:p>
    <w:p>
      <w:pPr>
        <w:spacing w:after="0" w:line="99"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Remaining performance obligations (“RPO”) as of September 30, 2026 and 2025, including the expected timing of recognition is as follows: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4"/>
        </w:trPr>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3"/>
        </w:trPr>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172"/>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or equal to 12 months</w:t>
            </w:r>
          </w:p>
        </w:tc>
        <w:tc>
          <w:tcPr>
            <w:tcW w:w="1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330,818</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257,677</w:t>
            </w:r>
          </w:p>
        </w:tc>
        <w:tc>
          <w:tcPr>
            <w:tcW w:w="110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Greater than 12 months</w:t>
            </w: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166,075</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134,215</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remaining performance obligations</w:t>
            </w: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496,893</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391,892</w:t>
            </w:r>
          </w:p>
        </w:tc>
        <w:tc>
          <w:tcPr>
            <w:tcW w:w="110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6794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-6350</wp:posOffset>
            </wp:positionV>
            <wp:extent cx="6794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-19685</wp:posOffset>
            </wp:positionV>
            <wp:extent cx="6794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-6350</wp:posOffset>
            </wp:positionV>
            <wp:extent cx="6794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37"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revenue and other financial metrics disclosed elsewhere in this Quarterly Report on Form 10-Q.</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April 2025, the Company entered into a new private pricing addendum with Amazon Web Services (“AWS”) for cloud computing infrastructure, which replaced the Company's prior agreement with AWS and terminated the remaining commitments under the prior agreement. Under the terms of the agreement, the Company has a minimum purchase commitment of $326.3 million in AWS services through March 2031. As of September 30, 2026, the Company had utilized $78.2 million of this commitment.</w:t>
      </w:r>
    </w:p>
    <w:p>
      <w:pPr>
        <w:spacing w:after="0" w:line="54"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In September 2026, the Company entered into a pricing addendum with Google LLC ("Google") for cloud computing services, effective October 1, 2026. Under the terms of the addendum, the Company has minimum purchase commitments totaling $87.5 million through September 2029.</w:t>
      </w:r>
    </w:p>
    <w:p>
      <w:pPr>
        <w:spacing w:after="0" w:line="50" w:lineRule="exact"/>
        <w:rPr>
          <w:sz w:val="20"/>
          <w:szCs w:val="20"/>
          <w:color w:val="auto"/>
        </w:rPr>
      </w:pPr>
    </w:p>
    <w:p>
      <w:pPr>
        <w:ind w:left="640" w:right="1139" w:firstLine="351"/>
        <w:spacing w:after="0" w:line="292" w:lineRule="auto"/>
        <w:rPr>
          <w:sz w:val="20"/>
          <w:szCs w:val="20"/>
          <w:color w:val="auto"/>
        </w:rPr>
      </w:pPr>
      <w:r>
        <w:rPr>
          <w:rFonts w:ascii="Times New Roman" w:cs="Times New Roman" w:eastAsia="Times New Roman" w:hAnsi="Times New Roman"/>
          <w:sz w:val="14"/>
          <w:szCs w:val="14"/>
          <w:color w:val="auto"/>
        </w:rPr>
        <w:t>See Note 9 to our condensed consolidated financial statements included in the Form 10-Q for further information on our commitments and contingencies.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01"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9" w:lineRule="exact"/>
        <w:rPr>
          <w:sz w:val="20"/>
          <w:szCs w:val="20"/>
          <w:color w:val="auto"/>
        </w:rPr>
      </w:pPr>
    </w:p>
    <w:p>
      <w:pPr>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9"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nine months ended September 30, 2026 as compared to those disclosed in Part II, Item 7. Management’s Discussion and Analysis of Financial Condition and Results of Operations of the 2025 Form 10-K.</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See Note 1 to our condensed consolidated financial statements included in Part I, Item 1 of this Quarterly Report on Form 10-Q for more information regarding recent accounting pronouncements.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Our cash and cash equivalents and marketable securities primarily consist of cash on hand and highly liquid investments in money market funds and U.S. government securities. As of September 30, 2026, we had cash and cash equivalents of $58.9 million and marketable securities of $95.4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10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101" w:lineRule="exact"/>
        <w:rPr>
          <w:sz w:val="20"/>
          <w:szCs w:val="20"/>
          <w:color w:val="auto"/>
        </w:rPr>
      </w:pPr>
    </w:p>
    <w:p>
      <w:pPr>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01" w:lineRule="exact"/>
        <w:rPr>
          <w:sz w:val="20"/>
          <w:szCs w:val="20"/>
          <w:color w:val="auto"/>
        </w:rPr>
      </w:pPr>
    </w:p>
    <w:p>
      <w:pPr>
        <w:ind w:left="640" w:right="799" w:firstLine="351"/>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10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auto"/>
        </w:rPr>
        <w:t>See “Legal Matters” in Note 9 to our condensed consolidated financial statements included in Part I, Item 1 of this Quarterly Report on Form 10-Q.</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95"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34"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revenue was $343.2 million for the fiscal year ended December 31, 2025 and $305.0 million and $251.8 million for the nine months ended September 30, 2026 and 2025, respectively. However, you should not rely on our historical revenue growth as an indication of our future performance.</w:t>
      </w:r>
    </w:p>
    <w:p>
      <w:pPr>
        <w:spacing w:after="0" w:line="136"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36"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Our revenue growth rate may decline over time. In future periods, our revenue growth could slow or our revenue could decline for a number of reasons, including slowing demand for our AI-powered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28" w:lineRule="exact"/>
        <w:rPr>
          <w:sz w:val="20"/>
          <w:szCs w:val="20"/>
          <w:color w:val="auto"/>
        </w:rPr>
      </w:pPr>
    </w:p>
    <w:p>
      <w:pPr>
        <w:ind w:left="64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losses. As our costs increase, we may not be able to generate sufficient revenue to achieve and sustain profitability.</w:t>
      </w:r>
    </w:p>
    <w:p>
      <w:pPr>
        <w:spacing w:after="0" w:line="34"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have experienced net losses in each period since inception. We generated net losses of $88.5 million for the fiscal year ended December 31, 2025 and $82.4 million and $70.9 million for the nine months ended September 30, 2026 and 2025, respectively. As of September 30, 2026, we had an accumulated deficit of $628.8 million. We expect our costs and expenses to increase in future periods. In particular, we intend to continue to invest significant resources in:</w:t>
      </w:r>
    </w:p>
    <w:p>
      <w:pPr>
        <w:spacing w:after="0" w:line="54" w:lineRule="exact"/>
        <w:rPr>
          <w:sz w:val="20"/>
          <w:szCs w:val="20"/>
          <w:color w:val="auto"/>
        </w:rPr>
      </w:pPr>
    </w:p>
    <w:p>
      <w:pPr>
        <w:ind w:left="1340" w:right="719" w:hanging="352"/>
        <w:spacing w:after="0" w:line="274"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our AI-powered platform, including investments in our research and development team, the development or acquisition of new products, features, and functionality, and improvements to the scalability, availability, and security of our platform;</w:t>
      </w:r>
    </w:p>
    <w:p>
      <w:pPr>
        <w:spacing w:after="0" w:line="50" w:lineRule="exact"/>
        <w:rPr>
          <w:rFonts w:ascii="Times New Roman" w:cs="Times New Roman" w:eastAsia="Times New Roman" w:hAnsi="Times New Roman"/>
          <w:sz w:val="14"/>
          <w:szCs w:val="14"/>
          <w:color w:val="auto"/>
        </w:rPr>
      </w:pPr>
    </w:p>
    <w:p>
      <w:pPr>
        <w:ind w:left="1340" w:right="123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technology infrastructure, including expansion of our activities in third-party data centers that we may lease, enhancements to our network operations and infrastructure, and hiring of additional employees;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international expansion, in an effort to increase our customer base and sales;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administration, including legal, accounting, and other expenses.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8" w:name="page39"/>
    <w:bookmarkEnd w:id="38"/>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44" w:lineRule="exact"/>
        <w:rPr>
          <w:sz w:val="20"/>
          <w:szCs w:val="20"/>
          <w:color w:val="auto"/>
        </w:rPr>
      </w:pPr>
    </w:p>
    <w:p>
      <w:pPr>
        <w:jc w:val="both"/>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18"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3"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AI-powered platform and the successful implementation of our marketing strategy.</w:t>
      </w:r>
    </w:p>
    <w:p>
      <w:pPr>
        <w:spacing w:after="0" w:line="14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customer retention and expansion and the rate at which we attract new customers may decline or fluctuate as a result of a number of factors, including our customers’ satisfaction with our AI-powered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28" w:lineRule="exact"/>
        <w:rPr>
          <w:sz w:val="20"/>
          <w:szCs w:val="20"/>
          <w:color w:val="auto"/>
        </w:rPr>
      </w:pPr>
    </w:p>
    <w:p>
      <w:pPr>
        <w:jc w:val="both"/>
        <w:ind w:left="640" w:right="8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48" w:lineRule="exact"/>
        <w:rPr>
          <w:sz w:val="20"/>
          <w:szCs w:val="20"/>
          <w:color w:val="auto"/>
        </w:rPr>
      </w:pPr>
    </w:p>
    <w:p>
      <w:pPr>
        <w:jc w:val="both"/>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50" w:lineRule="exact"/>
        <w:rPr>
          <w:sz w:val="20"/>
          <w:szCs w:val="20"/>
          <w:color w:val="auto"/>
        </w:rPr>
      </w:pPr>
    </w:p>
    <w:p>
      <w:pPr>
        <w:ind w:left="1340" w:right="109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demand for, or pricing of, our AI-powered platform, including as a result of our introduction of new products, features, and functionality;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usage of our AI-powered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existing customers;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expansion rates;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new products, features, and functionality;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customers’ purchases;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speed with which customers are able to migrate data onto our platform after purchasing capacity;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awareness of our brand on a global basis;</w:t>
      </w:r>
    </w:p>
    <w:p>
      <w:pPr>
        <w:spacing w:after="0" w:line="96"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or delays in purchasing decisions in anticipation of new products, features, or functionality developed or acquired by us or our competitors;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customers’ budgets and in the timing of their budget cycles and purchasing decisions;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including our operating expenses;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9" w:name="page40"/>
    <w:bookmarkEnd w:id="39"/>
    <w:p>
      <w:pPr>
        <w:ind w:left="1340" w:right="117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associated with our cloud computing infrastructure, particularly the cloud services provided by Amazon Web Services (“AWS”);</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payment for operating expenses, particularly research and development and sales and marketing expenses;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non-cash expenses, including stock-based compensation, goodwill impairments, and other non-cash charges;</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associated with recruiting, training, and integrating new employees and retaining and motivating existing employees;</w:t>
      </w:r>
    </w:p>
    <w:p>
      <w:pPr>
        <w:spacing w:after="0" w:line="37"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and complete, and the effects of, mergers, acquisitions, or strategic partnerships, and the ensuing integration efforts;</w:t>
      </w:r>
    </w:p>
    <w:p>
      <w:pPr>
        <w:spacing w:after="0" w:line="37" w:lineRule="exact"/>
        <w:rPr>
          <w:rFonts w:ascii="Times New Roman" w:cs="Times New Roman" w:eastAsia="Times New Roman" w:hAnsi="Times New Roman"/>
          <w:sz w:val="14"/>
          <w:szCs w:val="14"/>
          <w:color w:val="auto"/>
        </w:rPr>
      </w:pPr>
    </w:p>
    <w:p>
      <w:pPr>
        <w:ind w:left="1340" w:right="959" w:hanging="352"/>
        <w:spacing w:after="0" w:line="274"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and industry conditions (including the current inflationary economic environment, rising interest rates and, tariffs), both domestically and internationally, as well as economic conditions specifically affecting industries in which our customers participate, and related difficulties in collections;</w:t>
      </w:r>
    </w:p>
    <w:p>
      <w:pPr>
        <w:spacing w:after="0" w:line="50" w:lineRule="exact"/>
        <w:rPr>
          <w:rFonts w:ascii="Times New Roman" w:cs="Times New Roman" w:eastAsia="Times New Roman" w:hAnsi="Times New Roman"/>
          <w:sz w:val="14"/>
          <w:szCs w:val="14"/>
          <w:color w:val="auto"/>
        </w:rPr>
      </w:pPr>
    </w:p>
    <w:p>
      <w:pPr>
        <w:ind w:left="1340" w:right="939" w:hanging="352"/>
        <w:spacing w:after="0" w:line="268"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impact of climate change, natural disasters, health epidemics,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spacing w:after="0" w:line="5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new accounting pronouncements;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changing laws, regulations, executive orders, and enforcement priorities;</w:t>
      </w:r>
    </w:p>
    <w:p>
      <w:pPr>
        <w:spacing w:after="0" w:line="96" w:lineRule="exact"/>
        <w:rPr>
          <w:rFonts w:ascii="Times New Roman" w:cs="Times New Roman" w:eastAsia="Times New Roman" w:hAnsi="Times New Roman"/>
          <w:sz w:val="14"/>
          <w:szCs w:val="14"/>
          <w:color w:val="auto"/>
        </w:rPr>
      </w:pPr>
    </w:p>
    <w:p>
      <w:pPr>
        <w:ind w:left="1340" w:right="879" w:hanging="352"/>
        <w:spacing w:after="0" w:line="274"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50"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changes in the proportion of our revenue and expenses denominated in foreign currencies;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dynamics of our market, including consolidation among competitors or customers;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security breaches of, technical difficulties with, or interruptions to, the delivery and use of our platform.</w:t>
      </w:r>
    </w:p>
    <w:p>
      <w:pPr>
        <w:spacing w:after="0" w:line="183"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previously defended against a securities class action lawsuit and a shareholder derivative lawsuit, which were filed in the United States District Court for the Northern District of California. Any such lawsuits could materially adversely affect our business, financial condition, and results of operations.</w:t>
      </w:r>
    </w:p>
    <w:p>
      <w:pPr>
        <w:spacing w:after="0" w:line="226"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expect to continue to focus on sales to larger enterprise organizations and may become more dependent on those relationships, which may increase the variability of our sales cycle and our results of operations.</w:t>
      </w:r>
    </w:p>
    <w:p>
      <w:pPr>
        <w:spacing w:after="0" w:line="34"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56" w:lineRule="exact"/>
        <w:rPr>
          <w:sz w:val="20"/>
          <w:szCs w:val="20"/>
          <w:color w:val="auto"/>
        </w:rPr>
      </w:pPr>
    </w:p>
    <w:p>
      <w:pPr>
        <w:ind w:left="4440" w:right="2019" w:hanging="3452"/>
        <w:spacing w:after="0" w:line="580" w:lineRule="auto"/>
        <w:tabs>
          <w:tab w:leader="none" w:pos="134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educate prospective customers about the uses and benefits of our AI-powered platform;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225425</wp:posOffset>
            </wp:positionV>
            <wp:extent cx="56038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0" w:name="page41"/>
    <w:bookmarkEnd w:id="40"/>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discretionary nature of purchasing and budget cycles and decisions;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nature of evaluation and purchasing processes;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functionality demands;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or planned introductions of new products, features, or functionality by us or our competitors;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lengthy purchasing approval processes.</w:t>
      </w:r>
    </w:p>
    <w:p>
      <w:pPr>
        <w:spacing w:after="0" w:line="183"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22" w:lineRule="exact"/>
        <w:rPr>
          <w:sz w:val="20"/>
          <w:szCs w:val="20"/>
          <w:color w:val="auto"/>
        </w:rPr>
      </w:pPr>
    </w:p>
    <w:p>
      <w:pPr>
        <w:ind w:left="640" w:right="10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AI-powered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31" w:lineRule="exact"/>
        <w:rPr>
          <w:sz w:val="20"/>
          <w:szCs w:val="20"/>
          <w:color w:val="auto"/>
        </w:rPr>
      </w:pPr>
    </w:p>
    <w:p>
      <w:pPr>
        <w:ind w:left="64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34"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the imposition of tariffs (and uncertainty related to the enforceability thereof) and any retaliatory trade protection measures or trade wars that ensue,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AI-powered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1" w:name="page42"/>
    <w:bookmarkEnd w:id="41"/>
    <w:p>
      <w:pPr>
        <w:ind w:left="6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the market for SaaS applications develops more slowly than we expect or declines, our business would be materially adversely affected.</w:t>
      </w:r>
    </w:p>
    <w:p>
      <w:pPr>
        <w:spacing w:after="0" w:line="34" w:lineRule="exact"/>
        <w:rPr>
          <w:sz w:val="20"/>
          <w:szCs w:val="20"/>
          <w:color w:val="auto"/>
        </w:rPr>
      </w:pPr>
    </w:p>
    <w:p>
      <w:pPr>
        <w:ind w:left="640" w:right="699" w:firstLine="516"/>
        <w:spacing w:after="0" w:line="260" w:lineRule="auto"/>
        <w:rPr>
          <w:sz w:val="20"/>
          <w:szCs w:val="20"/>
          <w:color w:val="auto"/>
        </w:rPr>
      </w:pPr>
      <w:r>
        <w:rPr>
          <w:rFonts w:ascii="Times New Roman" w:cs="Times New Roman" w:eastAsia="Times New Roman" w:hAnsi="Times New Roman"/>
          <w:sz w:val="14"/>
          <w:szCs w:val="14"/>
          <w:color w:val="auto"/>
        </w:rPr>
        <w:t>Our success will depend to a substantial extent on the widespread adoption of SaaS applications in general, and of SaaS applications that look to solve aspects of AI analytics. Many organizations have invested substantial personnel and financial resources to integrate traditional on-premise business software applications into their businesses, and therefore may be reluctant or unwilling to migrate to SaaS applications. Further, AI Technologies are rapidly evolving, and it is uncertain how AI Technologies will affect the demand for, and structure of, the market for SaaS applications, including whether AI Technologies will change how customers purchase and use software, replace certain functions currently performed by SaaS applications, or enable competitors or customers to develop alternatives to our AI-powered platform. For example, the trading prices of SaaS companies have recently experienced downward pressure, driven in part by investor concerns that advances in AI Technologies may disrupt traditional SaaS business models, reduce demand for certain SaaS applications, or alter pricing dynamics. These concerns may adversely affect customer purchasing decisions and the market price of our Class A common stock.</w:t>
      </w:r>
    </w:p>
    <w:p>
      <w:pPr>
        <w:spacing w:after="0" w:line="60" w:lineRule="exact"/>
        <w:rPr>
          <w:sz w:val="20"/>
          <w:szCs w:val="20"/>
          <w:color w:val="auto"/>
        </w:rPr>
      </w:pPr>
    </w:p>
    <w:p>
      <w:pPr>
        <w:ind w:left="640" w:right="699" w:firstLine="516"/>
        <w:spacing w:after="0" w:line="259" w:lineRule="auto"/>
        <w:rPr>
          <w:sz w:val="20"/>
          <w:szCs w:val="20"/>
          <w:color w:val="auto"/>
        </w:rPr>
      </w:pPr>
      <w:r>
        <w:rPr>
          <w:rFonts w:ascii="Times New Roman" w:cs="Times New Roman" w:eastAsia="Times New Roman" w:hAnsi="Times New Roman"/>
          <w:sz w:val="14"/>
          <w:szCs w:val="14"/>
          <w:color w:val="auto"/>
        </w:rPr>
        <w:t>It is difficult to predict customer adoption rates and demand for our AI-powered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AI-powered platform. If we or other SaaS providers experience data security incidents, loss of customer data, disruptions in delivery, or other problems, the market for SaaS applications, including our AI-powered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the emergence of AI technologies that displace SaaS applications, or decreases in spending on SaaS applications, it would result in decreased revenue and our business, financial condition, and results of operations would be materially adversely affected.</w:t>
      </w:r>
    </w:p>
    <w:p>
      <w:pPr>
        <w:spacing w:after="0" w:line="229" w:lineRule="exact"/>
        <w:rPr>
          <w:sz w:val="20"/>
          <w:szCs w:val="20"/>
          <w:color w:val="auto"/>
        </w:rPr>
      </w:pPr>
    </w:p>
    <w:p>
      <w:pPr>
        <w:ind w:left="640" w:right="7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market in which we operate is highly competitive, and our ability to compete depends on developments in our technology, including the successful deployment of AI in our products. If we do not compete effectively, our business, financial condition, and results of operations could be materially adversely affected.</w:t>
      </w:r>
    </w:p>
    <w:p>
      <w:pPr>
        <w:spacing w:after="0" w:line="48"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The market for applications that look to address AI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50" w:lineRule="exact"/>
        <w:rPr>
          <w:sz w:val="20"/>
          <w:szCs w:val="20"/>
          <w:color w:val="auto"/>
        </w:rPr>
      </w:pPr>
    </w:p>
    <w:p>
      <w:pPr>
        <w:ind w:left="1340" w:right="87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in-house software systems;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 integrated systems vendors;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smaller companies offering alternative SaaS applications;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or emerging entrants seeking to develop competing technologies.</w:t>
      </w:r>
    </w:p>
    <w:p>
      <w:pPr>
        <w:spacing w:after="0" w:line="183" w:lineRule="exact"/>
        <w:rPr>
          <w:sz w:val="20"/>
          <w:szCs w:val="20"/>
          <w:color w:val="auto"/>
        </w:rPr>
      </w:pPr>
    </w:p>
    <w:p>
      <w:pPr>
        <w:ind w:left="640" w:right="819" w:firstLine="351"/>
        <w:spacing w:after="0" w:line="261" w:lineRule="auto"/>
        <w:rPr>
          <w:sz w:val="20"/>
          <w:szCs w:val="20"/>
          <w:color w:val="auto"/>
        </w:rPr>
      </w:pPr>
      <w:r>
        <w:rPr>
          <w:rFonts w:ascii="Times New Roman" w:cs="Times New Roman" w:eastAsia="Times New Roman" w:hAnsi="Times New Roman"/>
          <w:sz w:val="14"/>
          <w:szCs w:val="14"/>
          <w:color w:val="auto"/>
        </w:rPr>
        <w:t>Our competitors may be able to respond more quickly and effectively than we can to new or changing opportunities, technologies, standards, or customer requirements. With the introduction of new technologies, the evolution of our AI-powered platform, and new market entrants, we expect competition to intensify in the future. In particular, the market for AI solutions is evolving rapidly. We may not achieve the intended benefits of our AI initiatives, and our competitors may integrate AI into their products or market their AI solutions more effectively than we do, which could materially adversely affect our business, financial condition, and results of operations. In addition, pricing pressures and increased competition generally could result in reduced sales, reduced margins, financial losses, or the failure of our AI-powered platform to achieve or maintain more widespread market acceptance, any of which could harm our business.</w:t>
      </w:r>
    </w:p>
    <w:p>
      <w:pPr>
        <w:spacing w:after="0" w:line="146"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Our competitors vary in size and in the breadth and scope of the products and services they offer. Further, other established SaaS providers not historically or currently focused on AI analytics have and may continue to expand their services or shift to a focus on AI analytics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2" w:name="page43"/>
    <w:bookmarkEnd w:id="42"/>
    <w:p>
      <w:pPr>
        <w:ind w:left="640" w:right="819"/>
        <w:spacing w:after="0" w:line="268" w:lineRule="auto"/>
        <w:rPr>
          <w:sz w:val="20"/>
          <w:szCs w:val="20"/>
          <w:color w:val="auto"/>
        </w:rPr>
      </w:pPr>
      <w:r>
        <w:rPr>
          <w:rFonts w:ascii="Times New Roman" w:cs="Times New Roman" w:eastAsia="Times New Roman" w:hAnsi="Times New Roman"/>
          <w:sz w:val="14"/>
          <w:szCs w:val="14"/>
          <w:color w:val="auto"/>
        </w:rPr>
        <w:t>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2025 Form 10-K.</w:t>
      </w:r>
    </w:p>
    <w:p>
      <w:pPr>
        <w:spacing w:after="0" w:line="222"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ability to attract new customers and retain and increase revenue from existing customers depends in large part on our ability to enhance and improve our AI-powered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AI-powered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AI-powered platform to meet customer requirements, or otherwise gain market acceptance, our business, financial condition, and results of operations could be materially adversely affected.</w:t>
      </w:r>
    </w:p>
    <w:p>
      <w:pPr>
        <w:spacing w:after="0" w:line="14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Because our AI-powered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AI-powered platform may need to address additional requirements specific to those industries.</w:t>
      </w:r>
    </w:p>
    <w:p>
      <w:pPr>
        <w:spacing w:after="0" w:line="146"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If we are unable to enhance our AI-powered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18" w:lineRule="exact"/>
        <w:rPr>
          <w:sz w:val="20"/>
          <w:szCs w:val="20"/>
          <w:color w:val="auto"/>
        </w:rPr>
      </w:pPr>
    </w:p>
    <w:p>
      <w:pPr>
        <w:ind w:left="64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properly develop, invest in, deploy, and manage AI Technologies used in our AI-powered platform, our business, financial condition, and results of operations could be materially adversely affected.</w:t>
      </w:r>
    </w:p>
    <w:p>
      <w:pPr>
        <w:spacing w:after="0" w:line="34"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We have incorporated, and expect in the future we will continue to incorporate AI Technologies into our AI-powered platform, and are making significant investments in this area. Across our AI-powered platform, we offer our customers a suite of AI Technologies that are designed to help them surface, interpret, and achieve data insights faster, including capabilities that leverage large language models ("LLM") (i.e., AI models that can produce and output new data and information). For example, certain features use LLMs to enable natural language querying of product data, generate summaries of trends, and aid customers in analyzing their product data.</w:t>
      </w:r>
    </w:p>
    <w:p>
      <w:pPr>
        <w:spacing w:after="0" w:line="317"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expect that increased investment will be required in the future to continuously improve our use of AI Technologies. Our efforts to develop and improve proprietary AI models may increase our operating costs and could be limited by our access to processing infrastructure or training data. We may be dependent on third-party providers for such resources, and we cannot control the availability or pricing of such resources, particularly in a highly competitive environment where demand for processing capacity and high-quality training data continues to grow. In addition, the costs of operating our AI-powered products, such as AI Agents, at scale, including third-party model fees, inference costs, and cloud infrastructure costs, may increase substantially as adoption and usage grow. Agentic workflows generally require more inference calls and compute than traditional software or single-query AI features, and their usage volume and cost can be difficult to predict. If these costs grow faster than the related revenue, pricing, or efficiency gains, or if we are unable to price, package, or monetize these products to offset them, our business, financial condition, and results of operations could be materially adversely affected.</w:t>
      </w:r>
    </w:p>
    <w:p>
      <w:pPr>
        <w:spacing w:after="0" w:line="146"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 In particular, if the models underlying our AI Technologies are incorrectly designed or implemented; trained on or reliant on incomplete, inadequate, inaccurate, biased, or otherwise poor quality data, or on data to which we do not have sufficient rights or in relation to which we or the providers of such</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3" w:name="page44"/>
    <w:bookmarkEnd w:id="43"/>
    <w:p>
      <w:pPr>
        <w:ind w:left="640" w:right="699"/>
        <w:spacing w:after="0" w:line="265" w:lineRule="auto"/>
        <w:rPr>
          <w:sz w:val="20"/>
          <w:szCs w:val="20"/>
          <w:color w:val="auto"/>
        </w:rPr>
      </w:pPr>
      <w:r>
        <w:rPr>
          <w:rFonts w:ascii="Times New Roman" w:cs="Times New Roman" w:eastAsia="Times New Roman" w:hAnsi="Times New Roman"/>
          <w:sz w:val="14"/>
          <w:szCs w:val="14"/>
          <w:color w:val="auto"/>
        </w:rPr>
        <w:t>data have not implemented sufficient legal compliance measures; used without sufficient oversight and governance to ensure their responsible use; or adversely impacted by unforeseen defects, technical challenges, cybersecurity threats, data privacy concerns,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142"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With respect to our products or services that incorporate AI Technologies, the market for such products and services is rapidly evolving and important assumptions about the characteristics of targeted markets, pricing, sales cycles, cost, performance, and perceived value associated with our products or services may be inaccurate. We cannot be sure that the market will continue to grow or that it will grow in ways we anticipate. In addition, market acceptance of products and services that incorporate AI Technologies is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or efficiently manage our operating expenses; and respond effectively to competitive developments.</w:t>
      </w:r>
    </w:p>
    <w:p>
      <w:pPr>
        <w:spacing w:after="0" w:line="144"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 For instance, the models underlying our AI Technology can experience degradation (also known as "model drift") in which their performance and accuracy decrease over time without further human intervention to detect and correct such degradation. Any failure to identify and remediate such model drift in a timely manner could adversely affect the quality of our AI-powered products and services.</w:t>
      </w:r>
    </w:p>
    <w:p>
      <w:pPr>
        <w:spacing w:after="0" w:line="144"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Our competitors or other third parties may incorporate AI Technologies into their products more quickly or more successfully than us, which could impair our ability to compete effectively.</w:t>
      </w:r>
    </w:p>
    <w:p>
      <w:pPr>
        <w:spacing w:after="0" w:line="12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incorporate LLMs into certain of our products and services as part of our AI-powered platform. There is a risk that AI Technologies could produce inaccurate or misleading data or other discriminatory or unexpected results or behaviors, such as hallucinatory behavior that can generate irrelevant, nonsensical, or factually incorrect results, all of which could harm our reputation, business, or customer relationships. While we take measures designed to ensure the accuracy of AI-generated insights, those measures may not always be successful, and in some cases, we may need to rely on users to report such inaccuracies. Beyond the risk of inaccurate outputs, certain of our AI Technologies, including our AI Agents, operate with a degree of autonomy, planning and executing multi-step tasks, interacting with customer data and connected third-party systems, and acting on behalf of users, in some cases without human review of each action. An AI agent acting on incomplete, inaccurate, or manipulated information, or misinterpreting instructions, may take unintended actions, such as modifying, deleting, or corrupting data, triggering incorrect workflow or communications, or accessing, using, or disclosing data beyond its intended scope or customer-granted permissions. Because these actions may occur quickly, at scale, and across connected systems, errors may be difficult to detect, reverse, or remediate, and our safeguards may not always be effective. Any such actions could harm our customers, compromise data integrity, result in violations of law or our contractual commitments, and expose us to claims, litigation, regulatory scrutiny, indemnification obligations, other liability, and reputational harm, any of which could materially adversely affect our business, financial condition, and results of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4" w:name="page45"/>
    <w:bookmarkEnd w:id="44"/>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claims, increasing our risks of liability. For example, the output data produced by certain AI Technologies may include information subject to certain privacy laws or constitute an unauthorized derivative work of the copyrighted material used in training the underlying AI Technologies, any of which could also create a risk of liability for us, or adversely affect our customers and our business or operations. While some providers of AI Technologies offer to indemnify their end users for any copyright or other intellectual property infringement claims arising from the output of their AI Technologies, we may not be successful in adequately recovering our losses in connection with such claims under any such indemnification provisions.</w:t>
      </w:r>
    </w:p>
    <w:p>
      <w:pPr>
        <w:spacing w:after="0" w:line="151"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 addition to our proprietary AI Technologies, 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46"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may also use AI Technologies, including tools provided by third parties, to assist in the development of our own software code. While use of such tools may make our development processes more efficient, AI Technologies have in some cases generated content that is "substantially similar" to proprietary or open-source code on which the AI tool was trained. If the AI Technologies we use in our development processes generate code that is substantially similar to other proprietary code, or to software processes that are protected by patent, we could be subject to intellectual property infringement claims. We may also not be able to anticipate and detect security vulnerabilities in such AI-generated software code. Additionally, to the extent we use third-party AI Technologies to develop software code, the terms of use of those tools may provide that the third-party provider retains certain rights in the generated code.</w:t>
      </w:r>
    </w:p>
    <w:p>
      <w:pPr>
        <w:spacing w:after="0" w:line="226"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Issues relating to the responsible use of our technologies, including AI Technologies in our AI-powered platform, may result in reputational or financial harm and liability.</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Concerns relating to the responsible use of new and evolving technologies, such as AI Technologies, in our AI-powered platform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applicable legal and regulatory requirements relating to the responsible use of AI Technologies by us or others could undermine public confidence and slow adoption of our products and services or cause reputational or financial harm.</w:t>
      </w:r>
    </w:p>
    <w:p>
      <w:pPr>
        <w:spacing w:after="0" w:line="60"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In addition, we make AI Technologies available to our customers, who use them in connection with their own data and connected systems. We may not have insight into, or control over, the practices of customers or other third parties who utilize our AI Technologies, and we cannot guarantee that they will not use such technologies for improper purposes, including through the dissemination of illegal, inaccurate, defamatory, or harmful content, intellectual property infringement or misappropriation, furthering bias or discrimination, cybersecurity attacks, unlawful processing of personal information or other data privacy violations, or to develop competing technologies, or that the measures we implement to prevent such improper use will be effective. Further, regulators, including the FTC and the SEC, have increased scrutiny of statements companies make regarding their AI capabilities. If our statements about the capabilities, performance, or safeguards of our AI Technologies are, or are perceived to be, inaccurate or overstated, we may face claims of misrepresentation or deceptiveness by regulators and private litigants. Any of the foregoing could adversely affect our business, reputation, and financial condition or subject us to legal liability.</w:t>
      </w:r>
    </w:p>
    <w:p>
      <w:pPr>
        <w:spacing w:after="0" w:line="228" w:lineRule="exact"/>
        <w:rPr>
          <w:sz w:val="20"/>
          <w:szCs w:val="20"/>
          <w:color w:val="auto"/>
        </w:rPr>
      </w:pPr>
    </w:p>
    <w:p>
      <w:pPr>
        <w:jc w:val="both"/>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incorporated, and expect to further integrate, AI Technologies into our internal processes and operations. The use of AI Technologies in our internal processes and operations present business, compliance and reputational risks.</w:t>
      </w:r>
    </w:p>
    <w:p>
      <w:pPr>
        <w:spacing w:after="0" w:line="34" w:lineRule="exact"/>
        <w:rPr>
          <w:sz w:val="20"/>
          <w:szCs w:val="20"/>
          <w:color w:val="auto"/>
        </w:rPr>
      </w:pPr>
    </w:p>
    <w:p>
      <w:pPr>
        <w:jc w:val="both"/>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Our efforts to leverage AI Technologies to improve internal functions and operations present further risks and challenges. The use of AI to support business operations and decision-making carries inherent risks related to data privacy and security, including the intended, unintended, or inadvertent transmission or exposure of proprietary, sensitive or personal information, as well as risks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5" w:name="page46"/>
    <w:bookmarkEnd w:id="45"/>
    <w:p>
      <w:pPr>
        <w:ind w:left="640" w:right="739"/>
        <w:spacing w:after="0" w:line="174" w:lineRule="exact"/>
        <w:rPr>
          <w:sz w:val="20"/>
          <w:szCs w:val="20"/>
          <w:color w:val="auto"/>
        </w:rPr>
      </w:pPr>
      <w:r>
        <w:rPr>
          <w:rFonts w:ascii="Times New Roman" w:cs="Times New Roman" w:eastAsia="Times New Roman" w:hAnsi="Times New Roman"/>
          <w:sz w:val="14"/>
          <w:szCs w:val="14"/>
          <w:color w:val="auto"/>
        </w:rPr>
        <w:t>associated with the implementation, integration, and ongoing maintenance of AI tools. The misuse or misappropriation of data could have an adverse impact on our reputation and could subject us to legal and regulatory investigations and/or actions. In addition, AI systems may generate inaccurate, incomplete, biased, or misleading outputs, and reliance on such outputs could materially adversely affect our operations and decision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making. Our use of AI Technologies may also give rise to intellectual property or other legal risks, including potential claims related to the use of data, models, or outputs generated by such systems. In addition, there may be errors or failures in how we design, implement, monitor, document or govern our internal use of AI tools. If we are unable to effectively leverage AI Technology in our internal processes and operations, or if we fail to use AI Technology responsibly, our productivity, operational efficiency, or effectiveness may suffer. Any of the foregoing could have a material adverse effect on our business, financial condition and results of operations.</w:t>
      </w:r>
    </w:p>
    <w:p>
      <w:pPr>
        <w:spacing w:after="0" w:line="243"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As we continue to grow and expand our business and operations, significant demands may be placed on our management and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AI-powered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as we grow, we will need to appropriately scale our internal business systems and our services organization, including customer support, to serve our customer base, particularly as our customer demographics change over time. Managing these changes will require significant expenditures and allocation of valuable management resources. If we fail to successfully manage our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w:t>
      </w:r>
    </w:p>
    <w:p>
      <w:pPr>
        <w:spacing w:after="0" w:line="23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During the first six months of 2026, we implemented the 2026 Restructuring Program in two phases, consisting of executive leadership changes in the first phase and a broader organizational reorganization in the second phase, intended to streamline operations, better align our cost structure with our business priorities, and reduce operating costs, which resulted in a reduction of approximately 5% of our workforce during the nine months ended September 30, 2026. The 2026 Restructuring Program may result in unintended consequences and costs, including costs associated with attrition beyond our intended reduction in force, a decrease in morale among employees, adverse impacts on our ability to recruit and hire qualified personnel in the future, and the loss of institutional knowledge and expertise, which could result in losses in future periods or otherwise prevent us from realizing, in full or in part, the anticipated benefits and savings from the 2026 Restructuring Program. Any failure to preserve our culture could harm our business, including our ability to retain and recruit personnel, innovate and operate effectively, and execute on our business strategy.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6" w:name="page47"/>
    <w:bookmarkEnd w:id="46"/>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and certain third-party vendors of ours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We face numerous and evolving cybersecurity risks that threaten the confidentiality, integrity, and availability of our information technology systems and Confidential Information.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third-party that caused the breach. In addition, any failure by our vendors to comply with applicable law or regulations could result in proceedings against us by governmental entities or others.</w:t>
      </w:r>
    </w:p>
    <w:p>
      <w:pPr>
        <w:spacing w:after="0" w:line="150"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a range of cybersecurity risks and threats, including cyberattacks, denial and degradation-of-service attacks, ransomware attacks, business email compromises, computer malware, malicious code, misconfigurations, "bugs,"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and tools – including AI Technology – may be used to sabotage, or to obtain unauthorized access to, our platform, information technology systems, networks, or physical facilities in which Confidential Information is stored or through which Confidential Information is transmitted change frequently, and we may be unable to anticipate or implement adequate preventative measures against all such techniques in every instance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w:t>
      </w:r>
    </w:p>
    <w:p>
      <w:pPr>
        <w:spacing w:after="0" w:line="15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use of AI Technologies across our platform, products, and internal operations also introduces new attack vectors that do not exist in traditional software. For example, threat actors may use prompt injection, embedding crafted inputs in user prompts, customer data, or third-party content to manipulate an AI model or agent into bypassing safeguards, extracting confidential information, or taking unauthorized actions. Threat actors may also attempt model or data poisoning, corrupting the data our AI Technologies are trained on or rely upon to degrade performance, introduce hidden vulnerabilities, or produce inaccurate, biased, or harmful outputs. AI Technologies may also make the social engineering attacks described above more effective and scalable, including through deepfakes and more targeted phishing, increasing the likelihood that our employees, contractors, vendors, or customers are deceived into granting unauthorized access or disclosing confidential information. Because these techniques are still developing, we may be unable to anticipate, detect, or defend against them, which could result in security incidents, unauthorized access to or disclosure of confidential information, or harm to our business, financial condition, and results of operations.</w:t>
      </w:r>
    </w:p>
    <w:p>
      <w:pPr>
        <w:spacing w:after="0" w:line="146"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We and certain of our vendors are from time to time subject to cyberattacks and security incidents. For example, in September 2026, we detected unauthorized access to a limited portion of our internal systems. We contained and remediated the incident, engaged an independent forensics firm to investigate, and notified each impacted customer. While we do not believe that we have experienced any significant system failure, accident, or material security breach to date, if such an event were to occur and cause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7" w:name="page48"/>
    <w:bookmarkEnd w:id="47"/>
    <w:p>
      <w:pPr>
        <w:ind w:left="640" w:right="679"/>
        <w:spacing w:after="0" w:line="259" w:lineRule="auto"/>
        <w:rPr>
          <w:sz w:val="20"/>
          <w:szCs w:val="20"/>
          <w:color w:val="auto"/>
        </w:rPr>
      </w:pPr>
      <w:r>
        <w:rPr>
          <w:rFonts w:ascii="Times New Roman" w:cs="Times New Roman" w:eastAsia="Times New Roman" w:hAnsi="Times New Roman"/>
          <w:sz w:val="14"/>
          <w:szCs w:val="14"/>
          <w:color w:val="auto"/>
        </w:rPr>
        <w:t>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323"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(including class actions)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w:t>
      </w:r>
    </w:p>
    <w:p>
      <w:pPr>
        <w:spacing w:after="0" w:line="200" w:lineRule="exact"/>
        <w:rPr>
          <w:sz w:val="20"/>
          <w:szCs w:val="20"/>
          <w:color w:val="auto"/>
        </w:rPr>
      </w:pPr>
    </w:p>
    <w:p>
      <w:pPr>
        <w:spacing w:after="0" w:line="213" w:lineRule="exact"/>
        <w:rPr>
          <w:sz w:val="20"/>
          <w:szCs w:val="20"/>
          <w:color w:val="auto"/>
        </w:rPr>
      </w:pPr>
    </w:p>
    <w:p>
      <w:pPr>
        <w:jc w:val="both"/>
        <w:ind w:left="640" w:right="8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8" w:name="page49"/>
    <w:bookmarkEnd w:id="48"/>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Our AI-powered platform is proprietary, and we rely on the expertise of members of our engineering, operations, product, and software development teams for its continued performance. It may become increasingly difficult and costly to maintain and improve the performance of our AI-powered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44"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Amazon Web Services ("AWS") and Google Cloud Platform.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AI-powered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44"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24" w:lineRule="exact"/>
        <w:rPr>
          <w:sz w:val="20"/>
          <w:szCs w:val="20"/>
          <w:color w:val="auto"/>
        </w:rPr>
      </w:pPr>
    </w:p>
    <w:p>
      <w:pPr>
        <w:ind w:left="64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Real or perceived errors, failures, vulnerabilities, or bugs in our platform could materially adversely affect our business and growth prospects.</w:t>
      </w:r>
    </w:p>
    <w:p>
      <w:pPr>
        <w:spacing w:after="0" w:line="34"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spacing w:after="0" w:line="224"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 using our AI-powered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AI-powered platform to our customers and prospective customers, and our business, financial condition, and results of operations.</w:t>
      </w:r>
    </w:p>
    <w:p>
      <w:pPr>
        <w:spacing w:after="0" w:line="231"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Incorrect or improper implementation or use of our AI-powered platform could result in customer dissatisfaction and materially adversely affect our business, financial condition, and results of operations.</w:t>
      </w:r>
    </w:p>
    <w:p>
      <w:pPr>
        <w:spacing w:after="0" w:line="3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We often assist our customers in implementing our AI-powered platform (whether through us directly or through a third-party implementation partner), and they may need training in the proper use of our AI-powered platform to maximize its potential and avoid inadequate performance. If we or our implementation partners fail to train customers on how to efficiently and effectively use our AI-powered platform or if we fail to provide adequate product support to our customers, we may lose opportunities for additional subscriptions, customers may choose not to renew or expand the use of our AI-powered platform, we may experience negative publicity or legal claims against us, and our reputation and brand may suffer. Any of these circumstances could materially adversely affect our business,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9" w:name="page50"/>
    <w:bookmarkEnd w:id="49"/>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48"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customers and prospective customers expect our AI-powered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AI-powered platform may become less marketable, less competitive, or obsolete, and our business, financial condition, results of operations, and growth prospects could be materially adversely affected.</w:t>
      </w:r>
    </w:p>
    <w:p>
      <w:pPr>
        <w:spacing w:after="0" w:line="233" w:lineRule="exact"/>
        <w:rPr>
          <w:sz w:val="20"/>
          <w:szCs w:val="20"/>
          <w:color w:val="auto"/>
        </w:rPr>
      </w:pPr>
    </w:p>
    <w:p>
      <w:pPr>
        <w:ind w:left="64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34"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We have limited experience with respect to determining the optimal prices for our AI-powered platform and, as a result, we have in the past needed, and expect in the future that we will need, to change our pricing model from time to time. As the market for our AI-powered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28"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34"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AI-powered platform by new and existing customers, especially enterprise customers, our business, financial condition, and results of operations may be materially adversely affected.</w:t>
      </w:r>
    </w:p>
    <w:p>
      <w:pPr>
        <w:spacing w:after="0" w:line="144"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26"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3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AI-powered platform, but there can be no assurance that these steps will be effective. In addition, if our channel partners are unsuccessful in marketing and selling access to our AI-powered platform, it would limit our expansion into certain geographies, sectors, and industries. If we are unable to develop and maintain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0" w:name="page51"/>
    <w:bookmarkEnd w:id="50"/>
    <w:p>
      <w:pPr>
        <w:ind w:left="640" w:right="819"/>
        <w:spacing w:after="0" w:line="292" w:lineRule="auto"/>
        <w:rPr>
          <w:sz w:val="20"/>
          <w:szCs w:val="20"/>
          <w:color w:val="auto"/>
        </w:rPr>
      </w:pPr>
      <w:r>
        <w:rPr>
          <w:rFonts w:ascii="Times New Roman" w:cs="Times New Roman" w:eastAsia="Times New Roman" w:hAnsi="Times New Roman"/>
          <w:sz w:val="14"/>
          <w:szCs w:val="14"/>
          <w:color w:val="auto"/>
        </w:rPr>
        <w:t>effective sales incentive programs for our channel partners, we may not be able to incentivize these partners to sell access to our AI-powered platform to customers.</w:t>
      </w:r>
    </w:p>
    <w:p>
      <w:pPr>
        <w:spacing w:after="0" w:line="12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AI-powered platform altogether. Our channel partners could subject us to lawsuits, potential liability, and reputational harm if, for example, any of our channel partners misrepresents the functionality of our AI-powered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AI-powered platform. If our channel partners are unsuccessful in selling access to our AI-powered platform, or if we are unable to enter into arrangements with or retain a sufficient number of high-quality channel partners in each of the regions in which we sell access to our AI-powered platform and keep them motivated to sell access to our AI-powered platform, our business, financial condition, results of operations, and growth prospects could be materially adversely affected.</w:t>
      </w:r>
    </w:p>
    <w:p>
      <w:pPr>
        <w:spacing w:after="0" w:line="233"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marketing strategies are not effective in attracting new customers and retaining existing customers, our business and ability to grow our revenues would be harmed.</w:t>
      </w:r>
    </w:p>
    <w:p>
      <w:pPr>
        <w:spacing w:after="0" w:line="3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46"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24"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efforts to larger organizations involve risks that may not be present or that are present to a lesser extent with respect to sales to smaller organizations.</w:t>
      </w:r>
    </w:p>
    <w:p>
      <w:pPr>
        <w:spacing w:after="0" w:line="34"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AI-powered platform prior to making a purchase decision and placing an order. A number of factors influence the length and variability of our sales cycle, including the need to educate potential customers about the uses and benefits of our AI-powered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1" w:name="page52"/>
    <w:bookmarkEnd w:id="51"/>
    <w:p>
      <w:pPr>
        <w:ind w:left="640" w:right="879"/>
        <w:spacing w:after="0" w:line="292" w:lineRule="auto"/>
        <w:rPr>
          <w:sz w:val="20"/>
          <w:szCs w:val="20"/>
          <w:color w:val="auto"/>
        </w:rPr>
      </w:pPr>
      <w:r>
        <w:rPr>
          <w:rFonts w:ascii="Times New Roman" w:cs="Times New Roman" w:eastAsia="Times New Roman" w:hAnsi="Times New Roman"/>
          <w:sz w:val="14"/>
          <w:szCs w:val="14"/>
          <w:color w:val="auto"/>
        </w:rPr>
        <w:t>these risks associated with sales cycles and sales to larger organizations, our business, financial condition, and results of operations may be materially adversely affected.</w:t>
      </w:r>
    </w:p>
    <w:p>
      <w:pPr>
        <w:spacing w:after="0" w:line="206" w:lineRule="exact"/>
        <w:rPr>
          <w:sz w:val="20"/>
          <w:szCs w:val="20"/>
          <w:color w:val="auto"/>
        </w:rPr>
      </w:pPr>
    </w:p>
    <w:p>
      <w:pPr>
        <w:ind w:left="64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and enhance our brand, our business, financial condition, and results of operations may be materially adversely affected.</w:t>
      </w:r>
    </w:p>
    <w:p>
      <w:pPr>
        <w:spacing w:after="0" w:line="34"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We believe that maintaining and enhancing our reputation as a differentiated and category-defining company in AI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AI-powered platform from competitive products and services. In addition, independent industry analysts often provide reviews of our AI-powered platform, as well as products and services offered by our competitors, and the market perception of our AI-powered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149"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26" w:lineRule="exact"/>
        <w:rPr>
          <w:sz w:val="20"/>
          <w:szCs w:val="20"/>
          <w:color w:val="auto"/>
        </w:rPr>
      </w:pPr>
    </w:p>
    <w:p>
      <w:pPr>
        <w:ind w:left="64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operations are international in scope, and we plan further geographical expansion, creating a variety of operational challenges.</w:t>
      </w:r>
    </w:p>
    <w:p>
      <w:pPr>
        <w:spacing w:after="0" w:line="34"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and the nine months ended September 30, 2026 and 2025, 39%, 40%,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current and future international business and operations involve a variety of risks, including:</w:t>
      </w:r>
    </w:p>
    <w:p>
      <w:pPr>
        <w:spacing w:after="0" w:line="97" w:lineRule="exact"/>
        <w:rPr>
          <w:sz w:val="20"/>
          <w:szCs w:val="20"/>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than anticipated public cloud adoption by international businesses;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which may be unexpected, in a specific country’s or region’s political, economic, or legal and regulatory environment, including armed conflicts, pandemics, terrorist activities, tariffs (and uncertainty related to the enforceability thereof), trade wars, or long-term environmental risks;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adapt and localize our AI-powered platform for specific countries;</w:t>
      </w:r>
    </w:p>
    <w:p>
      <w:pPr>
        <w:spacing w:after="0" w:line="96"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payment cycles and greater difficulty enforcing contracts, collecting accounts receivable, or satisfying revenue recognition criteria, especially in emerging markets;</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evolving, and more stringent regulations relating to privacy and data security and the unauthorized use of, or access to, commercial and personal information, particularly in Europe;</w:t>
      </w:r>
    </w:p>
    <w:p>
      <w:pPr>
        <w:spacing w:after="0" w:line="37" w:lineRule="exact"/>
        <w:rPr>
          <w:rFonts w:ascii="Times New Roman" w:cs="Times New Roman" w:eastAsia="Times New Roman" w:hAnsi="Times New Roman"/>
          <w:sz w:val="14"/>
          <w:szCs w:val="14"/>
          <w:color w:val="auto"/>
        </w:rPr>
      </w:pPr>
    </w:p>
    <w:p>
      <w:pPr>
        <w:ind w:left="1340" w:right="739" w:hanging="352"/>
        <w:spacing w:after="0" w:line="274"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0" w:lineRule="exact"/>
        <w:rPr>
          <w:rFonts w:ascii="Times New Roman" w:cs="Times New Roman" w:eastAsia="Times New Roman" w:hAnsi="Times New Roman"/>
          <w:sz w:val="14"/>
          <w:szCs w:val="14"/>
          <w:color w:val="auto"/>
        </w:rPr>
      </w:pPr>
    </w:p>
    <w:p>
      <w:pPr>
        <w:ind w:left="1340" w:right="759" w:hanging="352"/>
        <w:spacing w:after="0" w:line="274"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50"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 business in new markets with diverse cultures, languages, customs, legal systems, alternative dispute systems, and regulatory systems;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travel, real estate, infrastructure, and legal compliance costs associated with international operations;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2" w:name="page53"/>
    <w:bookmarkEnd w:id="52"/>
    <w:p>
      <w:pPr>
        <w:ind w:left="1340" w:right="6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 fluctuations and the resulting effect on our revenue and expenses, and the cost and risk of entering into hedging transactions if we choose to do so in the future;</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ability to reinvest earnings from operations in one country to fund the capital needs of our operations in other countries;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business practices favoring local competitors or general market preferences for local vendors;</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or insufficient intellectual property protection or difficulties obtaining, maintaining, protecting, or enforcing our intellectual property rights, including our trademarks and patents;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68"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w:t>
      </w:r>
    </w:p>
    <w:p>
      <w:pPr>
        <w:spacing w:after="0" w:line="54" w:lineRule="exact"/>
        <w:rPr>
          <w:rFonts w:ascii="Times New Roman" w:cs="Times New Roman" w:eastAsia="Times New Roman" w:hAnsi="Times New Roman"/>
          <w:sz w:val="14"/>
          <w:szCs w:val="14"/>
          <w:color w:val="auto"/>
        </w:rPr>
      </w:pPr>
    </w:p>
    <w:p>
      <w:pPr>
        <w:ind w:left="1340" w:right="719" w:hanging="352"/>
        <w:spacing w:after="0" w:line="268"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5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financial accounting and reporting burdens and complexities;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or preferences for domestic products;</w:t>
      </w:r>
    </w:p>
    <w:p>
      <w:pPr>
        <w:spacing w:after="0" w:line="96"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technical standards, existing or future regulatory and certification requirements, and required features and functionality;</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burdens of complying with laws and regulations related to privacy and data security, including the E.U. General Data Protection Regulation (“EU GDPR”) and similar laws and regulations in other jurisdictions; and</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burdens of complying with laws and regulations related to taxation, and regulations, adverse tax burdens, and foreign exchange controls that could make it difficult to repatriate earnings and cash.</w:t>
      </w:r>
    </w:p>
    <w:p>
      <w:pPr>
        <w:spacing w:after="0" w:line="124"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Global conflicts could materially adversely affect our business, results of operations, and financial condition.</w:t>
      </w:r>
    </w:p>
    <w:p>
      <w:pPr>
        <w:spacing w:after="0" w:line="101"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Global conflicts and geopolitical tensions, including the ongoing war between Russia and Ukraine and hostilities involving Iran in the Middle East, as well as any other current or future armed conflicts, acts of terrorism, or geopolitical disputes, are highly unpredictable in length, impact, and outcome. Such conflicts have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56"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are continuing to monitor these and other geopolitical developments and assess their impact on our business, including our business partners and customers. Such circumstances, combined with sanctions, export controls, and other government measures, have resulted, and may in the future result in disruptions to our customers' businesses in impacted regions, including, at times, their ability to pay for our services.</w:t>
      </w:r>
    </w:p>
    <w:p>
      <w:pPr>
        <w:spacing w:after="0" w:line="54"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We have no way to predict the progress or outcome of any such conflicts or their impacts in the affected countries or surrounding regions, as these conflicts, and any resulting government reactions, are rapidly developing and beyond our control. The extent and duration of any such conflicts,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derive, and expect to continue for some time to derive, substantially all of our revenue from our Amplitude Analytics product.</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we have released our Amplitude Session Replay, Feature Experimentation, Web Experimentation, Audience Activation, Guides and Surveys, AI Agents, Amplitude MCP, AI Visibility, AI Feedback and Automated Insights products, we currently derive, and expect to continue for some time to derive, a significant portion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400" w:lineRule="exact"/>
        <w:rPr>
          <w:sz w:val="20"/>
          <w:szCs w:val="20"/>
          <w:color w:val="auto"/>
        </w:rPr>
      </w:pPr>
    </w:p>
    <w:p>
      <w:pPr>
        <w:ind w:left="640" w:right="7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4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For the year ended December 31, 2025 and the nine months ended September 30, 2026 and 2025, our research and development expenses were 28%, 30%, and 29%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agree to indemnify customers and other third parties, which exposes us to substantial potential liability.</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00" w:lineRule="exact"/>
        <w:rPr>
          <w:sz w:val="20"/>
          <w:szCs w:val="20"/>
          <w:color w:val="auto"/>
        </w:rPr>
      </w:pPr>
    </w:p>
    <w:p>
      <w:pPr>
        <w:spacing w:after="0" w:line="202" w:lineRule="exact"/>
        <w:rPr>
          <w:sz w:val="20"/>
          <w:szCs w:val="20"/>
          <w:color w:val="auto"/>
        </w:rPr>
      </w:pPr>
    </w:p>
    <w:p>
      <w:pPr>
        <w:ind w:left="64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the growth of our business, and this capital might not be available on acceptable terms, if at all.</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5" w:lineRule="exact"/>
        <w:rPr>
          <w:sz w:val="20"/>
          <w:szCs w:val="20"/>
          <w:color w:val="auto"/>
        </w:rPr>
      </w:pPr>
    </w:p>
    <w:p>
      <w:pPr>
        <w:ind w:left="640" w:right="10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34"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54" w:lineRule="exact"/>
        <w:rPr>
          <w:sz w:val="20"/>
          <w:szCs w:val="20"/>
          <w:color w:val="auto"/>
        </w:rPr>
      </w:pPr>
    </w:p>
    <w:p>
      <w:pPr>
        <w:ind w:left="1340" w:right="109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patents and other intellectual property rights for important innovations or maintain appropriate confidentiality and other protective measures to establish and maintain our trade secrets;</w:t>
      </w:r>
    </w:p>
    <w:p>
      <w:pPr>
        <w:spacing w:after="0" w:line="37" w:lineRule="exact"/>
        <w:rPr>
          <w:rFonts w:ascii="Times New Roman" w:cs="Times New Roman" w:eastAsia="Times New Roman" w:hAnsi="Times New Roman"/>
          <w:sz w:val="14"/>
          <w:szCs w:val="14"/>
          <w:color w:val="auto"/>
        </w:rPr>
      </w:pPr>
    </w:p>
    <w:p>
      <w:pPr>
        <w:ind w:left="1340" w:right="121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in, and evolution of, legal standards relating to the validity, enforceability, and scope of protection of intellectual property rights;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invalidation of our intellectual property rights through administrative processes or litigation;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by us to detect infringement or other misappropriation of our intellectual property rights by third parties;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practical, resource, or business limitations on our ability to enforce our rights.</w:t>
      </w:r>
    </w:p>
    <w:p>
      <w:pPr>
        <w:spacing w:after="0" w:line="183"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46" w:lineRule="exact"/>
        <w:rPr>
          <w:sz w:val="20"/>
          <w:szCs w:val="20"/>
          <w:color w:val="auto"/>
        </w:rPr>
      </w:pPr>
    </w:p>
    <w:p>
      <w:pPr>
        <w:ind w:left="640" w:right="919" w:firstLine="351"/>
        <w:spacing w:after="0" w:line="265" w:lineRule="auto"/>
        <w:rPr>
          <w:sz w:val="20"/>
          <w:szCs w:val="20"/>
          <w:color w:val="auto"/>
        </w:rPr>
      </w:pPr>
      <w:r>
        <w:rPr>
          <w:rFonts w:ascii="Times New Roman" w:cs="Times New Roman" w:eastAsia="Times New Roman" w:hAnsi="Times New Roman"/>
          <w:sz w:val="14"/>
          <w:szCs w:val="14"/>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42"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26"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34"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Any intellectual property litigation to which we become a party may require us to do one or more of the following:</w:t>
      </w:r>
    </w:p>
    <w:p>
      <w:pPr>
        <w:spacing w:after="0" w:line="97" w:lineRule="exact"/>
        <w:rPr>
          <w:sz w:val="20"/>
          <w:szCs w:val="20"/>
          <w:color w:val="auto"/>
        </w:rPr>
      </w:pPr>
    </w:p>
    <w:p>
      <w:pPr>
        <w:ind w:left="1340" w:right="93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selling, licensing, or using products or features that incorporate the intellectual property rights that we allegedly infringe, misappropriate, or violate;</w:t>
      </w:r>
    </w:p>
    <w:p>
      <w:pPr>
        <w:spacing w:after="0" w:line="37"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substantial payments for legal fees, settlement payments, subscription fee refunds, or other costs or damages, including indemnification of third parties;</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 license or enter into a royalty agreement, either of which may not be available on reasonable terms, or at all, in order to obtain the right to sell or use the relevant intellectual property; 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55" w:name="page56"/>
    <w:bookmarkEnd w:id="55"/>
    <w:p>
      <w:pPr>
        <w:ind w:left="1340" w:right="859" w:hanging="352"/>
        <w:spacing w:after="0" w:line="292"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the allegedly infringing products to avoid infringement, misappropriation, or violation, which could be costly, time-consuming, or impossible.</w:t>
      </w:r>
    </w:p>
    <w:p>
      <w:pPr>
        <w:spacing w:after="0" w:line="124"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4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136" w:lineRule="exact"/>
        <w:rPr>
          <w:sz w:val="20"/>
          <w:szCs w:val="20"/>
          <w:color w:val="auto"/>
        </w:rPr>
      </w:pPr>
    </w:p>
    <w:p>
      <w:pPr>
        <w:ind w:left="640" w:right="719" w:firstLine="351"/>
        <w:spacing w:after="0" w:line="258" w:lineRule="auto"/>
        <w:rPr>
          <w:sz w:val="20"/>
          <w:szCs w:val="20"/>
          <w:color w:val="auto"/>
        </w:rPr>
      </w:pPr>
      <w:r>
        <w:rPr>
          <w:rFonts w:ascii="Times New Roman" w:cs="Times New Roman" w:eastAsia="Times New Roman" w:hAnsi="Times New Roman"/>
          <w:sz w:val="14"/>
          <w:szCs w:val="14"/>
          <w:color w:val="auto"/>
        </w:rPr>
        <w:t>Additionally,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The United States Copyright Office has previously denied copyright protection for content generated by AI Technologies, and the United States Patent and Trademark Office has similarly stated that an AI tool cannot be an “inventor” of a patent, rendering it impossible to obtain patent protection for inventions created solely by AI Technologies. Our generative AI Technologies that are embedded in our AI-powered platform could generate output that is infringing, and we could be subject to claims or lawsuits, including for infringement of third-party intellectual property rights as a result of the output of such generative AI Technologies.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use of “open-source” software could negatively affect our ability to sell our platform and subject us to possible litigation.</w:t>
      </w:r>
    </w:p>
    <w:p>
      <w:pPr>
        <w:spacing w:after="0" w:line="101"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use software in our AI-powered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Regulatory Compliance and Legal Matters</w:t>
      </w:r>
    </w:p>
    <w:p>
      <w:pPr>
        <w:spacing w:after="0" w:line="95" w:lineRule="exact"/>
        <w:rPr>
          <w:sz w:val="20"/>
          <w:szCs w:val="20"/>
          <w:color w:val="auto"/>
        </w:rPr>
      </w:pPr>
    </w:p>
    <w:p>
      <w:pPr>
        <w:ind w:left="64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 regulation, including import, export control, economic sanctions, and trade sanctions, and anti-corruption laws and regulations, which may expose us to liability and increase our costs.</w:t>
      </w:r>
    </w:p>
    <w:p>
      <w:pPr>
        <w:spacing w:after="0" w:line="3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6" w:name="page57"/>
    <w:bookmarkEnd w:id="56"/>
    <w:p>
      <w:pPr>
        <w:ind w:left="640" w:right="679"/>
        <w:spacing w:after="0" w:line="258" w:lineRule="auto"/>
        <w:rPr>
          <w:sz w:val="20"/>
          <w:szCs w:val="20"/>
          <w:color w:val="auto"/>
        </w:rPr>
      </w:pPr>
      <w:r>
        <w:rPr>
          <w:rFonts w:ascii="Times New Roman" w:cs="Times New Roman" w:eastAsia="Times New Roman" w:hAnsi="Times New Roman"/>
          <w:sz w:val="14"/>
          <w:szCs w:val="14"/>
          <w:color w:val="auto"/>
        </w:rPr>
        <w:t>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5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46"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affected by the evolving regulatory framework for AI Technologies.</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regulatory framework for AI Technologies is rapidly evolving as many federal, state, and foreign government bodies and agencies have enacted or are currently considering additional laws, regulations, self-regulatory frameworks, guidelines and statutes governing AI. Additionally, existing laws and regulations may be enjoined in judicial proceedings, or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predict the impact future laws, regulations, guidelines, or standards, or the market perception of their requirements may have on our business or how we will respond to these laws or regulations.</w:t>
      </w:r>
    </w:p>
    <w:p>
      <w:pPr>
        <w:spacing w:after="0" w:line="144"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Already, certain existing legal regimes (e.g., relating to data privacy) regulate certain aspects of AI Technologies, and new laws regulating AI Technologies have either entered into force in the United States and the EU or are expected to enter into force in the future. In the United States,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the absence of federal AI legislation, states have filled the void by enacting laws regulating different aspects of AI Technologies. For example, California has enacted laws and regulations related to AI safety protocols, reporting and transparency, among other AI-related topics. In addition, Colorado’s Artificial Intelligence Act may require developers and deployers of “high-risk” AI systems to implement certain safeguards against algorithmic discrimination (among other requirements), Utah’s Artificial Intelligence Policy Act establishes disclosure requirements and accountability measures for the use of generative AI in certain consumer interactions, and the Texas Responsible Artificial Intelligence Governance Act prohibits the development and deployment of AI systems for certain purposes while establishing a regulatory sandbox. Moreover, various state AI laws and comprehensive state privacy laws, including the California Consumer Privacy Act (“CCPA”), regulate the use of automated decision-making technology that results in legal or similarly significant effects on individuals, and provide rights to individuals with respect to that automated decision-making. States have also enacted sector-specific AI laws, including related to the use of AI for health-related purposes and financial services. Numerous other states have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7" w:name="page58"/>
    <w:bookmarkEnd w:id="57"/>
    <w:p>
      <w:pPr>
        <w:ind w:left="640" w:right="679"/>
        <w:spacing w:after="0" w:line="259" w:lineRule="auto"/>
        <w:rPr>
          <w:sz w:val="20"/>
          <w:szCs w:val="20"/>
          <w:color w:val="auto"/>
        </w:rPr>
      </w:pPr>
      <w:r>
        <w:rPr>
          <w:rFonts w:ascii="Times New Roman" w:cs="Times New Roman" w:eastAsia="Times New Roman" w:hAnsi="Times New Roman"/>
          <w:sz w:val="14"/>
          <w:szCs w:val="14"/>
          <w:color w:val="auto"/>
        </w:rPr>
        <w:t>enacted, passed, or are considering AI-focused legislation, creating a patchwork of regulations and a complex compliance challenge. However, the durability of these laws and the potential of additional state-level legislative activity faces uncertainty following President Trump’s December 2025 Executive Order “Ensuring a National Policy Framework for Artificial Intelligence.” This Executive Order establishes a federal policy favoring a uniform national AI regulatory framework designed to promote innovation and U.S. global competitiveness. The order directs federal agencies to identify, challenge, and potentially pre-empt state and local AI laws that are viewed as inconsistent with or burdensome to this national approach. It remains to be seen how agencies will effectuate this directive, and how states will approach AI legislation moving forward. Additionally, the Trump administration may continue to rescind existing federal orders and/or administrative policies relating to AI Technologies or may implement new executive orders and/or other rule making relating to AI Technologies in the future. Accordingly, the scope and direction of orders, policies, rules and regulations related to AI Technologies at the federal level in the United States in the near future is uncertain. Any such changes at the federal level could require us to expend significant resources to modify our products, services, or operations to ensure compliance or remain competitive. Further, any failure or perceived failure by us to comply with existing or newly enacted laws, regulations and other requirements relating to AI Technologies could result in legal claims or proceedings (including class actions), regulatory investigations or enforcement actions.</w:t>
      </w:r>
    </w:p>
    <w:p>
      <w:pPr>
        <w:spacing w:after="0" w:line="319"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In Europe, on August 1, 2024, the EU Artificial Intelligence Act (the “EU AI Act”) entered into force, and establishes a comprehensive, risk-based governance framework for AI in the EU market. The majority of the substantive requirements took effect beginning August 2, 2026, however, most obligations with respect to AI systems deemed “high-risk” will apply from December 2, 2027 or August 2, 2028.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Global "digital" regulations continue to develop and evolve, including the EU GDPR, ePrivacy Directive and the Data Act (the "Data Act"). Further, in Europe we are subject to the EU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EU GDPR’s requirements around automated decision making and introduced uncertainty in the interpretation of these rules. Specifically, the CJEU has expanded the scope for automated decision making under the EU GDPR by finding that automated decision making activities can fall within the EU GDPR’s restrictions on those activities even if the required legal or similarly significant effect for the individual is carried out by a third-party. The EU AI Act, and developing interpretation and application of the EU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Further, the Data Act came into force on September 12, 2025. The Data Act may apply to our provision of data processing services in the EU and introduces a general requirement to remove pre-commercial, commercial, technical, contractual and other barriers that inhibit our customers from terminating contracts, porting data or unbundling services. We are monitoring developments in this area. The changes introduced by the Data Act may impact the duration of customer relationships and result in additional compliance and operational costs, which may affect our business. If any of our data processing activities are found to violate the requirements imposed by this law, we may incur substantial fines, have to change our business practices, and face reputational harm, any of which could have an adverse effect on our business.</w:t>
      </w:r>
    </w:p>
    <w:p>
      <w:pPr>
        <w:spacing w:after="0" w:line="328"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It is possible that new laws and regulations will be adopted in the United States and in other non-U.S. jurisdictions, or that existing laws and regulations, including competition, antitrust, data privacy and consumer protection laws, may be interpreted or enforced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or to adjust our business plans based on changes to how such laws are enforced, including adapting to loosened regulation to remain competitive,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8" w:name="page59"/>
    <w:bookmarkEnd w:id="58"/>
    <w:p>
      <w:pPr>
        <w:ind w:left="640" w:right="11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34"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38" w:lineRule="exact"/>
        <w:rPr>
          <w:sz w:val="20"/>
          <w:szCs w:val="20"/>
          <w:color w:val="auto"/>
        </w:rPr>
      </w:pPr>
    </w:p>
    <w:p>
      <w:pPr>
        <w:ind w:left="1340" w:right="9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sanctions on some of the largest state-owned and private Russian financial institutions (and their subsequent removal from the Society for Worldwide Interbank Financial Telecommunication payment system);</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sanctions against Russian and Belarusian individuals, including the Russian President, other politicians, and those with government connections or involvement in Russian military activities;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sanctions against certain Russian businessmen and their businesses, some of which have significant financial and trade ties to the European Union;</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sectoral sanctions in various sectors of the Russian and Belarusian economies and the defense sector;</w:t>
      </w:r>
    </w:p>
    <w:p>
      <w:pPr>
        <w:spacing w:after="0" w:line="96"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U.K. sanctions introducing restrictions on providing loans to, and dealing in securities issued by, persons connected with Russia;</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access to the financial and capital markets in the European Union, as well as prohibitions on aircraft leasing operations;</w:t>
      </w:r>
    </w:p>
    <w:p>
      <w:pPr>
        <w:spacing w:after="0" w:line="37" w:lineRule="exact"/>
        <w:rPr>
          <w:rFonts w:ascii="Times New Roman" w:cs="Times New Roman" w:eastAsia="Times New Roman" w:hAnsi="Times New Roman"/>
          <w:sz w:val="14"/>
          <w:szCs w:val="14"/>
          <w:color w:val="auto"/>
        </w:rPr>
      </w:pPr>
    </w:p>
    <w:p>
      <w:pPr>
        <w:ind w:left="1340" w:right="779" w:hanging="352"/>
        <w:spacing w:after="0" w:line="268"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spacing w:after="0" w:line="54" w:lineRule="exact"/>
        <w:rPr>
          <w:rFonts w:ascii="Times New Roman" w:cs="Times New Roman" w:eastAsia="Times New Roman" w:hAnsi="Times New Roman"/>
          <w:sz w:val="14"/>
          <w:szCs w:val="14"/>
          <w:color w:val="auto"/>
        </w:rPr>
      </w:pPr>
    </w:p>
    <w:p>
      <w:pPr>
        <w:ind w:left="1340" w:right="659" w:hanging="352"/>
        <w:spacing w:after="0" w:line="263"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5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closure of airspace to Russian aircraft;</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imports of Russian oil, liquefied natural gas, and coal to the United States and on “new investment” in Russia’s energy sector (often with similar bans being enacted in the United Kingdom and the European Union);</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imports of Russian fish, seafood, and preparations thereof, alcoholic beverages, non-industrial diamonds, and gold to the United States;</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 on “new investment” in the Russian Federation by a U.S. person, which may be interpreted broadly (with a similar prohibition also enacted by the United Kingdom);</w:t>
      </w:r>
    </w:p>
    <w:p>
      <w:pPr>
        <w:spacing w:after="0" w:line="37" w:lineRule="exact"/>
        <w:rPr>
          <w:rFonts w:ascii="Times New Roman" w:cs="Times New Roman" w:eastAsia="Times New Roman" w:hAnsi="Times New Roman"/>
          <w:sz w:val="14"/>
          <w:szCs w:val="14"/>
          <w:color w:val="auto"/>
        </w:rPr>
      </w:pPr>
    </w:p>
    <w:p>
      <w:pPr>
        <w:ind w:left="1340" w:right="79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the provision of certain professional services, including accounting, trust and corporate formation, auditing, and management consulting services, and information technology and software services, among others; and</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the provision of services related to the worldwide maritime transportation of seaborne Russian oil, if purchased above a specific price cap.</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9" w:name="page60"/>
    <w:bookmarkEnd w:id="59"/>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44"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44"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w:t>
      </w:r>
    </w:p>
    <w:p>
      <w:pPr>
        <w:spacing w:after="0" w:line="144"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spacing w:after="0" w:line="231"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53"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14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may incur significant expenses to comply with the laws, regulations, and other obligations that apply to us. For example, in Europe, we are subject to the EU GDPR and to the United Kingdom General Data Protection Regulation and Data Protection Act 2018 (collectively, the “UK GDPR”) (the EU GDPR and UK GDPR together referred to as the “GDPR”). The GDPR went into effect in May 2018 and imposes stringent data protection requirements for processing the personal data of individuals within the EEA or UK in the context of our activities within the EEA or UK, including certain disclosure requirements, limitations on retention of personal data, mandatory data breach notification requirements, and additional obligations. Non-compliance with the GDPR can trigger fines of up to the greater of €20 million / £17.5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may have to make certain operational changes and we will have to implement revised standard contractual clauses and other relevant documentation for existing data transfers within required time frames.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0" w:name="page61"/>
    <w:bookmarkEnd w:id="60"/>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AI-powered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reflecting a trend toward more stringent privacy legislation in the United States. The enactment of such laws may have potentially conflicting requirements that would make compliance challenging.</w:t>
      </w:r>
    </w:p>
    <w:p>
      <w:pPr>
        <w:spacing w:after="0" w:line="146"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Additionally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w:t>
      </w:r>
    </w:p>
    <w:p>
      <w:pPr>
        <w:spacing w:after="0" w:line="15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4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litigation (including class actions), whistleblower complaints, adverse media coverage, investigations, or criminal or civil sanctions, all of which may harm our business, financial condition, and results of operations.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Any future litigation against us could be costly and time-consuming to defend.</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may become, and have in the past been,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For additional information regarding our current litigation matters, see "Legal Matters" in Note 9 to our condensed consolidated financial statements included in Part I, Item 1 of this Quarterly Report on Form 10-Q.</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Tax and Accounting Matters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face exposure to foreign currency exchange rate fluctuations.</w:t>
      </w:r>
    </w:p>
    <w:p>
      <w:pPr>
        <w:spacing w:after="0" w:line="10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conduct transactions, particularly intercompany transactions, in currencies other than the U.S. dollar. While we have primarily transacted with customers and vendors in U.S. dollars, we have transacted in foreign currencies for subscriptions to our AI-powered platform, and we expect to significantly expand the number of transactions with customers for our AI-powered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global operations and structure subject us to potentially adverse tax consequences.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6"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2" w:name="page63"/>
    <w:bookmarkEnd w:id="6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may be limited.</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2025 and have determined that none of our NOLs generated through December 31, 2025 will expire solely due to Section 382 limitations caused by ownership changes prior to December 31, 2025. However, we may have experienced ownership changes after December 31, 2025,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our effective tax rate or tax liability may have a material adverse effect on our results of operations.</w:t>
      </w:r>
    </w:p>
    <w:p>
      <w:pPr>
        <w:spacing w:after="0" w:line="101" w:lineRule="exact"/>
        <w:rPr>
          <w:sz w:val="20"/>
          <w:szCs w:val="20"/>
          <w:color w:val="auto"/>
        </w:rPr>
      </w:pPr>
    </w:p>
    <w:p>
      <w:pPr>
        <w:ind w:left="640" w:right="859" w:firstLine="351"/>
        <w:spacing w:after="0" w:line="265" w:lineRule="auto"/>
        <w:rPr>
          <w:sz w:val="20"/>
          <w:szCs w:val="20"/>
          <w:color w:val="auto"/>
        </w:rPr>
      </w:pPr>
      <w:r>
        <w:rPr>
          <w:rFonts w:ascii="Times New Roman" w:cs="Times New Roman" w:eastAsia="Times New Roman" w:hAnsi="Times New Roman"/>
          <w:sz w:val="14"/>
          <w:szCs w:val="14"/>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effective tax rate could increase due to several factors, including:</w:t>
      </w:r>
    </w:p>
    <w:p>
      <w:pPr>
        <w:spacing w:after="0" w:line="97" w:lineRule="exact"/>
        <w:rPr>
          <w:sz w:val="20"/>
          <w:szCs w:val="20"/>
          <w:color w:val="auto"/>
        </w:rPr>
      </w:pPr>
    </w:p>
    <w:p>
      <w:pPr>
        <w:ind w:left="1340" w:right="67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relative amounts of income before taxes in the various jurisdictions in which we operate that have differing statutory tax rates;</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tax treaties, and regulations or the interpretation of them, such as the Tax Cuts and Jobs Act, the CARES Act, the Inflation Reduction Act, and the One Big Beautiful Bill Act;</w:t>
      </w:r>
    </w:p>
    <w:p>
      <w:pPr>
        <w:spacing w:after="0" w:line="37" w:lineRule="exact"/>
        <w:rPr>
          <w:rFonts w:ascii="Times New Roman" w:cs="Times New Roman" w:eastAsia="Times New Roman" w:hAnsi="Times New Roman"/>
          <w:sz w:val="14"/>
          <w:szCs w:val="14"/>
          <w:color w:val="auto"/>
        </w:rPr>
      </w:pPr>
    </w:p>
    <w:p>
      <w:pPr>
        <w:ind w:left="1340" w:right="879" w:hanging="352"/>
        <w:spacing w:after="0" w:line="274"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current and future tax audits, examinations, or administrative appeals;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acquisitions.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Any of these developments could materially adversely affect our results of operations.</w:t>
      </w:r>
    </w:p>
    <w:p>
      <w:pPr>
        <w:spacing w:after="0" w:line="183" w:lineRule="exact"/>
        <w:rPr>
          <w:sz w:val="20"/>
          <w:szCs w:val="20"/>
          <w:color w:val="auto"/>
        </w:rPr>
      </w:pPr>
    </w:p>
    <w:p>
      <w:pPr>
        <w:ind w:left="640" w:right="899" w:firstLine="351"/>
        <w:spacing w:after="0" w:line="268" w:lineRule="auto"/>
        <w:rPr>
          <w:sz w:val="20"/>
          <w:szCs w:val="20"/>
          <w:color w:val="auto"/>
        </w:rPr>
      </w:pPr>
      <w:r>
        <w:rPr>
          <w:rFonts w:ascii="Times New Roman" w:cs="Times New Roman" w:eastAsia="Times New Roman" w:hAnsi="Times New Roman"/>
          <w:sz w:val="14"/>
          <w:szCs w:val="14"/>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22" w:lineRule="exact"/>
        <w:rPr>
          <w:sz w:val="20"/>
          <w:szCs w:val="20"/>
          <w:color w:val="auto"/>
        </w:rPr>
      </w:pPr>
    </w:p>
    <w:p>
      <w:pPr>
        <w:ind w:left="640" w:right="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34"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3" w:name="page64"/>
    <w:bookmarkEnd w:id="63"/>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4"/>
          <w:szCs w:val="14"/>
          <w:i w:val="1"/>
          <w:iCs w:val="1"/>
          <w:color w:val="auto"/>
        </w:rPr>
        <w:t>South Dakota v. Wayfair, Inc. et 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Wayfair</w:t>
      </w:r>
      <w:r>
        <w:rPr>
          <w:rFonts w:ascii="Times New Roman" w:cs="Times New Roman" w:eastAsia="Times New Roman" w:hAnsi="Times New Roman"/>
          <w:sz w:val="14"/>
          <w:szCs w:val="14"/>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4"/>
          <w:szCs w:val="14"/>
          <w:i w:val="1"/>
          <w:iCs w:val="1"/>
          <w:color w:val="auto"/>
        </w:rPr>
        <w:t>Wayfair</w:t>
      </w:r>
      <w:r>
        <w:rPr>
          <w:rFonts w:ascii="Times New Roman" w:cs="Times New Roman" w:eastAsia="Times New Roman" w:hAnsi="Times New Roman"/>
          <w:sz w:val="14"/>
          <w:szCs w:val="14"/>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46" w:lineRule="exact"/>
        <w:rPr>
          <w:sz w:val="20"/>
          <w:szCs w:val="20"/>
          <w:color w:val="auto"/>
        </w:rPr>
      </w:pPr>
    </w:p>
    <w:p>
      <w:pPr>
        <w:ind w:left="640" w:right="759" w:firstLine="516"/>
        <w:spacing w:after="0" w:line="263" w:lineRule="auto"/>
        <w:rPr>
          <w:sz w:val="20"/>
          <w:szCs w:val="20"/>
          <w:color w:val="auto"/>
        </w:rPr>
      </w:pPr>
      <w:r>
        <w:rPr>
          <w:rFonts w:ascii="Times New Roman" w:cs="Times New Roman" w:eastAsia="Times New Roman" w:hAnsi="Times New Roman"/>
          <w:sz w:val="14"/>
          <w:szCs w:val="14"/>
          <w:color w:val="auto"/>
        </w:rPr>
        <w:t>On June 29, 2026, California enacted Senate Bill 122, which, effective January 1, 2027, expands California’s sales and use tax base to include certain digital products, including prewritten software transferred electronically or accessed remotely. As a result, certain of our transactions that are not currently subject to California sales and use tax may become taxable. While we are continuing to evaluate the effect of this legislation and related implementation guidance, the change could increase the cost of our products to customers, impose additional compliance and administrative obligations on us, and adversely affect profitability, and results of operations.</w:t>
      </w:r>
    </w:p>
    <w:p>
      <w:pPr>
        <w:spacing w:after="0" w:line="226" w:lineRule="exact"/>
        <w:rPr>
          <w:sz w:val="20"/>
          <w:szCs w:val="20"/>
          <w:color w:val="auto"/>
        </w:rPr>
      </w:pPr>
    </w:p>
    <w:p>
      <w:pPr>
        <w:ind w:left="64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adversely affected by changes in accounting principles generally accepted in the United States.</w:t>
      </w:r>
    </w:p>
    <w:p>
      <w:pPr>
        <w:spacing w:after="0" w:line="3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22"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materially adversely affected.</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our 2025 Form 10-K, and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If our goodwill or intangible assets become impaired, we may be required to record a significant charge to earnings.</w:t>
      </w:r>
    </w:p>
    <w:p>
      <w:pPr>
        <w:spacing w:after="0" w:line="10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95"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trading price of our Class A common stock has been, and in the future, may be, volatile, and could decline significantly and rapidly.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4" w:name="page65"/>
    <w:bookmarkEnd w:id="64"/>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38" w:lineRule="exact"/>
        <w:rPr>
          <w:sz w:val="20"/>
          <w:szCs w:val="20"/>
          <w:color w:val="auto"/>
        </w:rPr>
      </w:pPr>
    </w:p>
    <w:p>
      <w:pPr>
        <w:ind w:left="1340" w:right="89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condition, results of operations, or operating metrics and those of our competitors;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projected operating and financial results or our failure to meet these projections;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pricing of our AI-powered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anticipated future size or growth rate of our addressable markets;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AI-powered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business developments, acquisitions, or new offerings;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data breaches, disruptions to, or other incidents involving, our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involvement in litigation;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board of directors, senior management, or key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our Class A common stock made available for trading;</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Class A common stock by us or our stockholders;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volume of our Class A common stock;</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anticipated future size and growth rate of our market;</w:t>
      </w:r>
    </w:p>
    <w:p>
      <w:pPr>
        <w:spacing w:after="0" w:line="96"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and industry conditions, including economic slowdowns, recessions, inflationary pressures, rising interest rates, tariffs, trade wars, financial market fluctuations, and reduced credit availability;</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or armed conflicts (including those in Ukraine and the Middle East), incidents of terrorism, pandemics, elections, or responses to these events; and</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investors or securities analysts view our stock structure unfavorably, particularly our dual class structure and the concentrated voting control of our executive officers, directors, and their affiliates.</w:t>
      </w:r>
    </w:p>
    <w:p>
      <w:pPr>
        <w:spacing w:after="0" w:line="12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For example, we previously defended against a securities class action lawsuit and a shareholder derivative lawsuit, which were filed in the United States District Court for the Northern District of California,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w:t>
      </w:r>
    </w:p>
    <w:p>
      <w:pPr>
        <w:spacing w:after="0" w:line="400"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principal stockholders have the ability to influence the outcome of director elections and other matters requiring stockholder approval.</w:t>
      </w:r>
    </w:p>
    <w:p>
      <w:pPr>
        <w:spacing w:after="0" w:line="34"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color w:val="auto"/>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28" w:lineRule="exact"/>
        <w:rPr>
          <w:sz w:val="20"/>
          <w:szCs w:val="20"/>
          <w:color w:val="auto"/>
        </w:rPr>
      </w:pPr>
    </w:p>
    <w:p>
      <w:pPr>
        <w:ind w:left="6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our existing stockholders, executive officers, and directors and their affiliates, which limits your ability to influence the outcome of important transactions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5" w:name="page66"/>
    <w:bookmarkEnd w:id="65"/>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and to influence corporate governance matters, such as electing directors, and to approve material mergers, acquisitions, or other business combination transactions that may not be aligned with your interests.</w:t>
      </w:r>
    </w:p>
    <w:p>
      <w:pPr>
        <w:spacing w:after="0" w:line="3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46"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44" w:lineRule="exact"/>
        <w:rPr>
          <w:sz w:val="20"/>
          <w:szCs w:val="20"/>
          <w:color w:val="auto"/>
        </w:rPr>
      </w:pPr>
    </w:p>
    <w:p>
      <w:pPr>
        <w:ind w:left="640" w:right="919" w:firstLine="351"/>
        <w:spacing w:after="0" w:line="292" w:lineRule="auto"/>
        <w:rPr>
          <w:sz w:val="20"/>
          <w:szCs w:val="20"/>
          <w:color w:val="auto"/>
        </w:rPr>
      </w:pPr>
      <w:r>
        <w:rPr>
          <w:rFonts w:ascii="Times New Roman" w:cs="Times New Roman" w:eastAsia="Times New Roman" w:hAnsi="Times New Roman"/>
          <w:sz w:val="14"/>
          <w:szCs w:val="14"/>
          <w:color w:val="auto"/>
        </w:rPr>
        <w:t>In addition, while we do not expect to issue any additional shares of Class B common stock, any future issuances of Class B common stock would be dilutive to holders of Class A common stock.</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the impact our dual class structure may have on the trading price of our Class A common stock.</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Although we are currently a constituent of the Russell 3000 Index, certain index providers have historically excluded companies with multiple classes of shares. While S&amp;P Dow Jones and FTSE Russell currently allow for multi-class eligibility, any future change in their methodology—or a failure on our part to meet the 5% minimum public voting power required by FTSE Russell—could result in our removal.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33"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34"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36"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40"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In addition, we have filed registration statements to register all shares subject to options and restricted stock units (“RSU”) outstanding or reserved for future issuance under our equity compensation plans. As of September 30, 2026, we had options outstanding that, if fully exercised, would result in the issuance of 8,503,914 shares of Class A common stock, as well as 20,442,718 shares of Class A common stock subject to RSUs.</w:t>
      </w:r>
    </w:p>
    <w:p>
      <w:pPr>
        <w:spacing w:after="0" w:line="140" w:lineRule="exact"/>
        <w:rPr>
          <w:sz w:val="20"/>
          <w:szCs w:val="20"/>
          <w:color w:val="auto"/>
        </w:rPr>
      </w:pPr>
    </w:p>
    <w:p>
      <w:pPr>
        <w:ind w:left="640" w:right="1159" w:firstLine="351"/>
        <w:spacing w:after="0" w:line="292" w:lineRule="auto"/>
        <w:rPr>
          <w:sz w:val="20"/>
          <w:szCs w:val="20"/>
          <w:color w:val="auto"/>
        </w:rPr>
      </w:pPr>
      <w:r>
        <w:rPr>
          <w:rFonts w:ascii="Times New Roman" w:cs="Times New Roman" w:eastAsia="Times New Roman" w:hAnsi="Times New Roman"/>
          <w:sz w:val="14"/>
          <w:szCs w:val="14"/>
          <w:color w:val="auto"/>
        </w:rPr>
        <w:t>Accordingly, these shares will be able to be freely sold in the public market upon issuance, subject to applicable vesting requirements and compliance by affiliates with Rule 144.</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6" w:name="page67"/>
    <w:bookmarkEnd w:id="66"/>
    <w:p>
      <w:pPr>
        <w:ind w:left="640" w:right="899" w:firstLine="351"/>
        <w:spacing w:after="0" w:line="265" w:lineRule="auto"/>
        <w:rPr>
          <w:sz w:val="20"/>
          <w:szCs w:val="20"/>
          <w:color w:val="auto"/>
        </w:rPr>
      </w:pPr>
      <w:r>
        <w:rPr>
          <w:rFonts w:ascii="Times New Roman" w:cs="Times New Roman" w:eastAsia="Times New Roman" w:hAnsi="Times New Roman"/>
          <w:sz w:val="14"/>
          <w:szCs w:val="14"/>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24"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equity incentive plans, or otherwise will dilute all other stockholders.</w:t>
      </w:r>
    </w:p>
    <w:p>
      <w:pPr>
        <w:spacing w:after="0" w:line="34"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26"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34"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22" w:lineRule="exact"/>
        <w:rPr>
          <w:sz w:val="20"/>
          <w:szCs w:val="20"/>
          <w:color w:val="auto"/>
        </w:rPr>
      </w:pPr>
    </w:p>
    <w:p>
      <w:pPr>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48" w:lineRule="exact"/>
        <w:rPr>
          <w:sz w:val="20"/>
          <w:szCs w:val="20"/>
          <w:color w:val="auto"/>
        </w:rPr>
      </w:pPr>
    </w:p>
    <w:p>
      <w:pPr>
        <w:jc w:val="both"/>
        <w:ind w:left="640" w:right="979" w:firstLine="351"/>
        <w:spacing w:after="0" w:line="274" w:lineRule="auto"/>
        <w:rPr>
          <w:sz w:val="20"/>
          <w:szCs w:val="20"/>
          <w:color w:val="auto"/>
        </w:rPr>
      </w:pPr>
      <w:r>
        <w:rPr>
          <w:rFonts w:ascii="Times New Roman" w:cs="Times New Roman" w:eastAsia="Times New Roman" w:hAnsi="Times New Roman"/>
          <w:sz w:val="14"/>
          <w:szCs w:val="14"/>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0" w:lineRule="exact"/>
        <w:rPr>
          <w:sz w:val="20"/>
          <w:szCs w:val="20"/>
          <w:color w:val="auto"/>
        </w:rPr>
      </w:pPr>
    </w:p>
    <w:p>
      <w:pPr>
        <w:jc w:val="both"/>
        <w:ind w:left="1340" w:right="65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37"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stockholders be effected at a duly called annual or special meeting and not by written consent;</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that special meetings of our stockholders can be called only by our board of directors;</w:t>
      </w:r>
    </w:p>
    <w:p>
      <w:pPr>
        <w:spacing w:after="0" w:line="96" w:lineRule="exact"/>
        <w:rPr>
          <w:rFonts w:ascii="Times New Roman" w:cs="Times New Roman" w:eastAsia="Times New Roman" w:hAnsi="Times New Roman"/>
          <w:sz w:val="14"/>
          <w:szCs w:val="14"/>
          <w:color w:val="auto"/>
        </w:rPr>
      </w:pPr>
    </w:p>
    <w:p>
      <w:pPr>
        <w:ind w:left="1340" w:right="111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 advance notice procedure for stockholder proposals to be brought before an annual meeting, including proposed nominations of persons for election to our board of directors;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that our board of directors is divided into three classes, with each class serving three-year staggered terms;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in the election of directors;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directors may only be removed for cause;</w:t>
      </w:r>
    </w:p>
    <w:p>
      <w:pPr>
        <w:spacing w:after="0" w:line="96" w:lineRule="exact"/>
        <w:rPr>
          <w:rFonts w:ascii="Times New Roman" w:cs="Times New Roman" w:eastAsia="Times New Roman" w:hAnsi="Times New Roman"/>
          <w:sz w:val="14"/>
          <w:szCs w:val="14"/>
          <w:color w:val="auto"/>
        </w:rPr>
      </w:pPr>
    </w:p>
    <w:p>
      <w:pPr>
        <w:ind w:left="1340" w:right="79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vacancies on our board of directors may be filled only by a majority of directors then in office, even though less than a quorum; and</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our board of directors or the holders of at least 66 2/3% of our outstanding shares of voting stock to amend our bylaws and certain provisions of our certificate of incorporation.</w:t>
      </w:r>
    </w:p>
    <w:p>
      <w:pPr>
        <w:spacing w:after="0" w:line="12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7" w:name="page68"/>
    <w:bookmarkEnd w:id="67"/>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4" w:lineRule="exact"/>
        <w:rPr>
          <w:sz w:val="20"/>
          <w:szCs w:val="20"/>
          <w:color w:val="auto"/>
        </w:rPr>
      </w:pPr>
    </w:p>
    <w:p>
      <w:pPr>
        <w:ind w:left="640" w:right="979" w:firstLine="351"/>
        <w:spacing w:after="0" w:line="292" w:lineRule="auto"/>
        <w:rPr>
          <w:sz w:val="20"/>
          <w:szCs w:val="20"/>
          <w:color w:val="auto"/>
        </w:rPr>
      </w:pPr>
      <w:r>
        <w:rPr>
          <w:rFonts w:ascii="Times New Roman" w:cs="Times New Roman" w:eastAsia="Times New Roman" w:hAnsi="Times New Roman"/>
          <w:sz w:val="14"/>
          <w:szCs w:val="14"/>
          <w:color w:val="auto"/>
        </w:rPr>
        <w:t>Our restated certificate of incorporation and amended and restated bylaws provide that we will indemnify our directors and officers, in each case to the fullest extent permitted by Delaware law.</w:t>
      </w:r>
    </w:p>
    <w:p>
      <w:pPr>
        <w:spacing w:after="0" w:line="124" w:lineRule="exact"/>
        <w:rPr>
          <w:sz w:val="20"/>
          <w:szCs w:val="20"/>
          <w:color w:val="auto"/>
        </w:rPr>
      </w:pPr>
    </w:p>
    <w:p>
      <w:pPr>
        <w:ind w:left="640" w:right="1059" w:firstLine="351"/>
        <w:spacing w:after="0" w:line="292" w:lineRule="auto"/>
        <w:rPr>
          <w:sz w:val="20"/>
          <w:szCs w:val="20"/>
          <w:color w:val="auto"/>
        </w:rPr>
      </w:pPr>
      <w:r>
        <w:rPr>
          <w:rFonts w:ascii="Times New Roman" w:cs="Times New Roman" w:eastAsia="Times New Roman" w:hAnsi="Times New Roman"/>
          <w:sz w:val="14"/>
          <w:szCs w:val="14"/>
          <w:color w:val="auto"/>
        </w:rPr>
        <w:t>In addition, as permitted by Section 145 of the Delaware General Corporation Law, our amended and restated bylaws and indemnification agreements that we have entered into with our directors and officers provide that:</w:t>
      </w:r>
    </w:p>
    <w:p>
      <w:pPr>
        <w:spacing w:after="0" w:line="38" w:lineRule="exact"/>
        <w:rPr>
          <w:sz w:val="20"/>
          <w:szCs w:val="20"/>
          <w:color w:val="auto"/>
        </w:rPr>
      </w:pPr>
    </w:p>
    <w:p>
      <w:pPr>
        <w:ind w:left="1340" w:right="719" w:hanging="352"/>
        <w:spacing w:after="0" w:line="265"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56"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 our discretion, indemnify employees and agents in those circumstances where indemnification is permitted by applicable law;</w:t>
      </w:r>
    </w:p>
    <w:p>
      <w:pPr>
        <w:spacing w:after="0" w:line="37" w:lineRule="exact"/>
        <w:rPr>
          <w:rFonts w:ascii="Times New Roman" w:cs="Times New Roman" w:eastAsia="Times New Roman" w:hAnsi="Times New Roman"/>
          <w:sz w:val="14"/>
          <w:szCs w:val="14"/>
          <w:color w:val="auto"/>
        </w:rPr>
      </w:pPr>
    </w:p>
    <w:p>
      <w:pPr>
        <w:jc w:val="both"/>
        <w:ind w:left="1340" w:right="699" w:hanging="352"/>
        <w:spacing w:after="0" w:line="274"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0"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0"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retroactively amend our amended and restated bylaws to reduce our indemnification obligations to directors, officers, employees, and agents.</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18" w:lineRule="exact"/>
        <w:rPr>
          <w:sz w:val="20"/>
          <w:szCs w:val="20"/>
          <w:color w:val="auto"/>
        </w:rPr>
      </w:pPr>
    </w:p>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48"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320"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8" w:name="page69"/>
    <w:bookmarkEnd w:id="68"/>
    <w:p>
      <w:pPr>
        <w:ind w:left="640" w:right="939"/>
        <w:spacing w:after="0" w:line="292" w:lineRule="auto"/>
        <w:rPr>
          <w:sz w:val="20"/>
          <w:szCs w:val="20"/>
          <w:color w:val="auto"/>
        </w:rPr>
      </w:pPr>
      <w:r>
        <w:rPr>
          <w:rFonts w:ascii="Times New Roman" w:cs="Times New Roman" w:eastAsia="Times New Roman" w:hAnsi="Times New Roman"/>
          <w:sz w:val="14"/>
          <w:szCs w:val="14"/>
          <w:color w:val="auto"/>
        </w:rPr>
        <w:t>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attract and retain highly skilled employees could materially adversely affect our business.</w:t>
      </w:r>
    </w:p>
    <w:p>
      <w:pPr>
        <w:spacing w:after="0" w:line="101"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spacing w:after="0" w:line="146"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Our restructuring efforts, including the 2026 Restructuring Program described elsewhere in this Quarterly Report, could exacerbate these risks and further harm our ability to retain and recruit personnel. If we fail to attract new personnel or fail to retain and motivate our current personnel, our business and growth prospects could be materially adversely affected.</w:t>
      </w:r>
    </w:p>
    <w:p>
      <w:pPr>
        <w:spacing w:after="0" w:line="226" w:lineRule="exact"/>
        <w:rPr>
          <w:sz w:val="20"/>
          <w:szCs w:val="20"/>
          <w:color w:val="auto"/>
        </w:rPr>
      </w:pPr>
    </w:p>
    <w:p>
      <w:pPr>
        <w:ind w:left="64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depend on our executive officers and other key employees, and the loss of one or more of these employees could materially adversely affect our business.</w:t>
      </w:r>
    </w:p>
    <w:p>
      <w:pPr>
        <w:spacing w:after="0" w:line="3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business, regulatory, or political climate in the San Francisco Bay Area could adversely affect our operations.</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24"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laws and regulations related to the internet or changes in the internet infrastructure itself may diminish the demand for our AI-powered platform, and could harm our business.</w:t>
      </w:r>
    </w:p>
    <w:p>
      <w:pPr>
        <w:spacing w:after="0" w:line="3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AI-powered platform or result in reductions in the demand for internet-based platforms such as ours. In addition, the use of the internet as a business tool could be harmed due to delays in the development or adoption of new standards and protocols to handle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9" w:name="page70"/>
    <w:bookmarkEnd w:id="69"/>
    <w:p>
      <w:pPr>
        <w:ind w:left="640" w:right="739"/>
        <w:spacing w:after="0" w:line="268" w:lineRule="auto"/>
        <w:rPr>
          <w:sz w:val="20"/>
          <w:szCs w:val="20"/>
          <w:color w:val="auto"/>
        </w:rPr>
      </w:pPr>
      <w:r>
        <w:rPr>
          <w:rFonts w:ascii="Times New Roman" w:cs="Times New Roman" w:eastAsia="Times New Roman" w:hAnsi="Times New Roman"/>
          <w:sz w:val="14"/>
          <w:szCs w:val="14"/>
          <w:color w:val="auto"/>
        </w:rPr>
        <w:t>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AI-powered platform could decline.</w:t>
      </w:r>
    </w:p>
    <w:p>
      <w:pPr>
        <w:spacing w:after="0" w:line="222" w:lineRule="exact"/>
        <w:rPr>
          <w:sz w:val="20"/>
          <w:szCs w:val="20"/>
          <w:color w:val="auto"/>
        </w:rPr>
      </w:pPr>
    </w:p>
    <w:p>
      <w:pPr>
        <w:ind w:left="64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3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AI-powered platform or generate any particular level of revenue for us. Any expansion in our markets depends on a number of factors, including the cost, performance, and perceived value associated with our AI-powered platform and the products of our competitors. Even if the markets in which we compete achieve the forecasted growth, our business could fail to grow at similar rates, if at all.</w:t>
      </w:r>
    </w:p>
    <w:p>
      <w:pPr>
        <w:spacing w:after="0" w:line="226" w:lineRule="exact"/>
        <w:rPr>
          <w:sz w:val="20"/>
          <w:szCs w:val="20"/>
          <w:color w:val="auto"/>
        </w:rPr>
      </w:pPr>
    </w:p>
    <w:p>
      <w:pPr>
        <w:jc w:val="both"/>
        <w:ind w:left="6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48"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We have in the past sought, and intend in the future to seek, to acquire or invest in businesses, joint ventures, strategic or preferred partnerships, and platform technologies that we believe could complement or expand our AI-powered platform, enhance our technology, or otherwise offer growth opportunities. Any such acquisitions, partnerships,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disrupted by catastrophic occurrences and similar events.</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144"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40"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22"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34"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0" w:name="page71"/>
    <w:bookmarkEnd w:id="70"/>
    <w:p>
      <w:pPr>
        <w:ind w:left="640" w:right="679"/>
        <w:spacing w:after="0" w:line="264" w:lineRule="auto"/>
        <w:rPr>
          <w:sz w:val="20"/>
          <w:szCs w:val="20"/>
          <w:color w:val="auto"/>
        </w:rPr>
      </w:pPr>
      <w:r>
        <w:rPr>
          <w:rFonts w:ascii="Times New Roman" w:cs="Times New Roman" w:eastAsia="Times New Roman" w:hAnsi="Times New Roman"/>
          <w:sz w:val="14"/>
          <w:szCs w:val="14"/>
          <w:color w:val="auto"/>
        </w:rPr>
        <w:t>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399"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34"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26" w:lineRule="exact"/>
        <w:rPr>
          <w:sz w:val="20"/>
          <w:szCs w:val="20"/>
          <w:color w:val="auto"/>
        </w:rPr>
      </w:pPr>
    </w:p>
    <w:p>
      <w:pPr>
        <w:jc w:val="both"/>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p>
    <w:p>
      <w:pPr>
        <w:spacing w:after="0" w:line="48"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46"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Company Purchases of Equity Securities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Stock repurchases during the three months ended September 30, 2026 were as follows: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1" w:name="page72"/>
    <w:bookmarkEnd w:id="71"/>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w:t>
            </w: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Under the</w:t>
            </w:r>
          </w:p>
        </w:tc>
      </w:tr>
      <w:tr>
        <w:trPr>
          <w:trHeight w:val="155"/>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Plans or</w:t>
            </w:r>
          </w:p>
        </w:tc>
      </w:tr>
      <w:tr>
        <w:trPr>
          <w:trHeight w:val="205"/>
        </w:trPr>
        <w:tc>
          <w:tcPr>
            <w:tcW w:w="20" w:type="dxa"/>
            <w:vAlign w:val="bottom"/>
          </w:tcPr>
          <w:p>
            <w:pPr>
              <w:spacing w:after="0"/>
              <w:rPr>
                <w:sz w:val="17"/>
                <w:szCs w:val="17"/>
                <w:color w:val="auto"/>
              </w:rPr>
            </w:pPr>
          </w:p>
        </w:tc>
        <w:tc>
          <w:tcPr>
            <w:tcW w:w="30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960" w:type="dxa"/>
            <w:vAlign w:val="bottom"/>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7"/>
              </w:rPr>
              <w:t>per Share</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9"/>
              </w:rPr>
              <w:t>Program</w:t>
            </w:r>
            <w:r>
              <w:rPr>
                <w:rFonts w:ascii="Times New Roman" w:cs="Times New Roman" w:eastAsia="Times New Roman" w:hAnsi="Times New Roman"/>
                <w:sz w:val="19"/>
                <w:szCs w:val="19"/>
                <w:b w:val="1"/>
                <w:bCs w:val="1"/>
                <w:color w:val="auto"/>
                <w:w w:val="99"/>
                <w:vertAlign w:val="superscript"/>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80"/>
              <w:spacing w:after="0" w:line="205" w:lineRule="exact"/>
              <w:rPr>
                <w:sz w:val="20"/>
                <w:szCs w:val="20"/>
                <w:color w:val="auto"/>
              </w:rPr>
            </w:pPr>
            <w:r>
              <w:rPr>
                <w:rFonts w:ascii="Times New Roman" w:cs="Times New Roman" w:eastAsia="Times New Roman" w:hAnsi="Times New Roman"/>
                <w:sz w:val="14"/>
                <w:szCs w:val="14"/>
                <w:b w:val="1"/>
                <w:bCs w:val="1"/>
                <w:color w:val="auto"/>
                <w:w w:val="96"/>
              </w:rPr>
              <w:t>Program</w:t>
            </w:r>
            <w:r>
              <w:rPr>
                <w:rFonts w:ascii="Times New Roman" w:cs="Times New Roman" w:eastAsia="Times New Roman" w:hAnsi="Times New Roman"/>
                <w:sz w:val="19"/>
                <w:szCs w:val="19"/>
                <w:b w:val="1"/>
                <w:bCs w:val="1"/>
                <w:color w:val="auto"/>
                <w:w w:val="96"/>
                <w:vertAlign w:val="superscript"/>
              </w:rPr>
              <w:t>(2)</w:t>
            </w:r>
          </w:p>
        </w:tc>
      </w:tr>
      <w:tr>
        <w:trPr>
          <w:trHeight w:val="163"/>
        </w:trPr>
        <w:tc>
          <w:tcPr>
            <w:tcW w:w="20" w:type="dxa"/>
            <w:vAlign w:val="bottom"/>
          </w:tcPr>
          <w:p>
            <w:pPr>
              <w:spacing w:after="0"/>
              <w:rPr>
                <w:sz w:val="14"/>
                <w:szCs w:val="14"/>
                <w:color w:val="auto"/>
              </w:rPr>
            </w:pPr>
          </w:p>
        </w:tc>
        <w:tc>
          <w:tcPr>
            <w:tcW w:w="3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July 1, 2026 through July 31, 2026</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36,615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August 1, 2026 through August 31, 2026</w:t>
            </w:r>
          </w:p>
        </w:tc>
        <w:tc>
          <w:tcPr>
            <w:tcW w:w="80" w:type="dxa"/>
            <w:vAlign w:val="bottom"/>
          </w:tcPr>
          <w:p>
            <w:pPr>
              <w:spacing w:after="0"/>
              <w:rPr>
                <w:sz w:val="14"/>
                <w:szCs w:val="14"/>
                <w:color w:val="auto"/>
              </w:rPr>
            </w:pPr>
          </w:p>
        </w:tc>
        <w:tc>
          <w:tcPr>
            <w:tcW w:w="1040" w:type="dxa"/>
            <w:vAlign w:val="bottom"/>
          </w:tcPr>
          <w:p>
            <w:pPr>
              <w:ind w:left="88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September 1, 2026 through September 30, 2026</w:t>
            </w:r>
          </w:p>
        </w:tc>
        <w:tc>
          <w:tcPr>
            <w:tcW w:w="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36,615</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4"/>
                <w:szCs w:val="14"/>
                <w:color w:val="auto"/>
              </w:rPr>
            </w:pPr>
          </w:p>
        </w:tc>
        <w:tc>
          <w:tcPr>
            <w:tcW w:w="10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-135890</wp:posOffset>
            </wp:positionV>
            <wp:extent cx="4762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-135890</wp:posOffset>
            </wp:positionV>
            <wp:extent cx="4762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4" w:lineRule="exact"/>
        <w:rPr>
          <w:sz w:val="20"/>
          <w:szCs w:val="20"/>
          <w:color w:val="auto"/>
        </w:rPr>
      </w:pPr>
    </w:p>
    <w:p>
      <w:pPr>
        <w:ind w:left="900" w:hanging="262"/>
        <w:spacing w:after="0"/>
        <w:tabs>
          <w:tab w:leader="none" w:pos="9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price paid per share for open market purchases includes broker commission fees.</w:t>
      </w:r>
    </w:p>
    <w:p>
      <w:pPr>
        <w:spacing w:after="0" w:line="3" w:lineRule="exact"/>
        <w:rPr>
          <w:rFonts w:ascii="Times New Roman" w:cs="Times New Roman" w:eastAsia="Times New Roman" w:hAnsi="Times New Roman"/>
          <w:sz w:val="11"/>
          <w:szCs w:val="11"/>
          <w:color w:val="auto"/>
        </w:rPr>
      </w:pPr>
    </w:p>
    <w:p>
      <w:pPr>
        <w:ind w:left="900" w:right="999" w:hanging="262"/>
        <w:spacing w:after="0" w:line="235" w:lineRule="auto"/>
        <w:tabs>
          <w:tab w:leader="none" w:pos="9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May 7, 2025, we announced that our board of directors authorized the repurchase of up to $50 million of our Class A common stock (the “Repurchase Program”). On February 18, 2026, we announced that our board of directors approved an increase to the Repurchase Program, under which the Company is authorized to repurchase up to an additional $100.0 million of our Class A common stock. The Repurchase Program has no expiration date.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Trading Arrangements of Section 16 Reporting Persons</w:t>
      </w:r>
    </w:p>
    <w:p>
      <w:pPr>
        <w:spacing w:after="0" w:line="101" w:lineRule="exact"/>
        <w:rPr>
          <w:sz w:val="20"/>
          <w:szCs w:val="20"/>
          <w:color w:val="auto"/>
        </w:rPr>
      </w:pPr>
    </w:p>
    <w:p>
      <w:pPr>
        <w:ind w:left="640" w:right="859" w:firstLine="351"/>
        <w:spacing w:after="0" w:line="265" w:lineRule="auto"/>
        <w:rPr>
          <w:sz w:val="20"/>
          <w:szCs w:val="20"/>
          <w:color w:val="auto"/>
        </w:rPr>
      </w:pPr>
      <w:r>
        <w:rPr>
          <w:rFonts w:ascii="Times New Roman" w:cs="Times New Roman" w:eastAsia="Times New Roman" w:hAnsi="Times New Roman"/>
          <w:sz w:val="14"/>
          <w:szCs w:val="14"/>
          <w:color w:val="auto"/>
        </w:rPr>
        <w:t>On August 31, 2026, Curtis Liu, our Chief Technology Officer, adopted a Rule 10b5-1 trading plan intended to satisfy the affirmative defense of Rule 10b5-1(c). The plan, which automatically terminates on May 21, 2027, provides for the sale of up to an aggregate of 260,000 shares of the Company’s Class A Common Stock, plus 100% of the net shares (after withholding for taxes) received upon the vesting of restricted stock, not to exceed 60,000 shares. The plan covers shares held in two separate accounts: (i) shares held directly by Curtis Liu and (ii) shares held indirectly by Curtis Liu as Trustee for the CL 2020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680" w:type="dxa"/>
            <w:vAlign w:val="bottom"/>
            <w:gridSpan w:val="19"/>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8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r>
      <w:tr>
        <w:trPr>
          <w:trHeight w:val="150"/>
        </w:trPr>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1"/>
                <w:szCs w:val="11"/>
                <w:b w:val="1"/>
                <w:bCs w:val="1"/>
                <w:color w:val="auto"/>
              </w:rPr>
              <w:t>Herewith</w:t>
            </w:r>
          </w:p>
        </w:tc>
      </w:t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1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Restated Certificate of Incorporation of the Registrant.</w:t>
              </w:r>
            </w:hyperlink>
          </w:p>
        </w:tc>
        <w:tc>
          <w:tcPr>
            <w:tcW w:w="540" w:type="dxa"/>
            <w:vAlign w:val="bottom"/>
            <w:gridSpan w:val="11"/>
          </w:tcPr>
          <w:p>
            <w:pPr>
              <w:spacing w:after="0"/>
              <w:rPr>
                <w:sz w:val="21"/>
                <w:szCs w:val="2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001-40817</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6/12/2024</w:t>
            </w:r>
          </w:p>
        </w:tc>
        <w:tc>
          <w:tcPr>
            <w:tcW w:w="540" w:type="dxa"/>
            <w:vAlign w:val="bottom"/>
          </w:tcPr>
          <w:p>
            <w:pPr>
              <w:spacing w:after="0"/>
              <w:rPr>
                <w:sz w:val="21"/>
                <w:szCs w:val="2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3680" w:type="dxa"/>
            <w:vAlign w:val="bottom"/>
            <w:gridSpan w:val="19"/>
          </w:tcPr>
          <w:p>
            <w:pPr>
              <w:spacing w:after="0"/>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Amended and Restated Bylaws of the Registrant.</w:t>
              </w:r>
            </w:hyperlink>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001-40817</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9/21/2021</w:t>
            </w:r>
          </w:p>
        </w:tc>
        <w:tc>
          <w:tcPr>
            <w:tcW w:w="54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3520" w:type="dxa"/>
            <w:vAlign w:val="bottom"/>
            <w:tcBorders>
              <w:bottom w:val="single" w:sz="8" w:color="0000FF"/>
            </w:tcBorders>
            <w:gridSpan w:val="15"/>
          </w:tcPr>
          <w:p>
            <w:pPr>
              <w:spacing w:after="0" w:line="152"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Specimen Stock Certificate evidencing the shares of Class A</w:t>
              </w:r>
            </w:hyperlink>
          </w:p>
        </w:tc>
        <w:tc>
          <w:tcPr>
            <w:tcW w:w="160" w:type="dxa"/>
            <w:vAlign w:val="bottom"/>
            <w:gridSpan w:val="4"/>
          </w:tcPr>
          <w:p>
            <w:pPr>
              <w:spacing w:after="0"/>
              <w:rPr>
                <w:sz w:val="13"/>
                <w:szCs w:val="13"/>
                <w:color w:val="auto"/>
              </w:rPr>
            </w:pPr>
          </w:p>
        </w:tc>
        <w:tc>
          <w:tcPr>
            <w:tcW w:w="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S-1</w:t>
            </w: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333-259168</w:t>
            </w: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7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8/30/2021</w:t>
            </w: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94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Common Stock.</w:t>
              </w:r>
            </w:hyperlink>
          </w:p>
        </w:tc>
        <w:tc>
          <w:tcPr>
            <w:tcW w:w="2740" w:type="dxa"/>
            <w:vAlign w:val="bottom"/>
            <w:gridSpan w:val="18"/>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3500" w:type="dxa"/>
            <w:vAlign w:val="bottom"/>
            <w:tcBorders>
              <w:bottom w:val="single" w:sz="8" w:color="0000FF"/>
            </w:tcBorders>
            <w:gridSpan w:val="14"/>
          </w:tcPr>
          <w:p>
            <w:pPr>
              <w:spacing w:after="0" w:line="152"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Specimen Stock Certificate evidencing the shares of Class B</w:t>
              </w:r>
            </w:hyperlink>
          </w:p>
        </w:tc>
        <w:tc>
          <w:tcPr>
            <w:tcW w:w="180" w:type="dxa"/>
            <w:vAlign w:val="bottom"/>
            <w:gridSpan w:val="5"/>
          </w:tcPr>
          <w:p>
            <w:pPr>
              <w:spacing w:after="0"/>
              <w:rPr>
                <w:sz w:val="13"/>
                <w:szCs w:val="13"/>
                <w:color w:val="auto"/>
              </w:rPr>
            </w:pPr>
          </w:p>
        </w:tc>
        <w:tc>
          <w:tcPr>
            <w:tcW w:w="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S-8</w:t>
            </w: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333-259698</w:t>
            </w: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7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9/21/2021</w:t>
            </w: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94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Common Stock.</w:t>
              </w:r>
            </w:hyperlink>
          </w:p>
        </w:tc>
        <w:tc>
          <w:tcPr>
            <w:tcW w:w="20" w:type="dxa"/>
            <w:vAlign w:val="bottom"/>
            <w:tcBorders>
              <w:bottom w:val="single" w:sz="8" w:color="0000EE"/>
            </w:tcBorders>
          </w:tcPr>
          <w:p>
            <w:pPr>
              <w:spacing w:after="0"/>
              <w:rPr>
                <w:sz w:val="13"/>
                <w:szCs w:val="13"/>
                <w:color w:val="auto"/>
              </w:rPr>
            </w:pPr>
          </w:p>
        </w:tc>
        <w:tc>
          <w:tcPr>
            <w:tcW w:w="2720" w:type="dxa"/>
            <w:vAlign w:val="bottom"/>
            <w:gridSpan w:val="17"/>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3600" w:type="dxa"/>
            <w:vAlign w:val="bottom"/>
            <w:tcBorders>
              <w:bottom w:val="single" w:sz="8" w:color="0000FF"/>
            </w:tcBorders>
            <w:gridSpan w:val="18"/>
          </w:tcPr>
          <w:p>
            <w:pPr>
              <w:spacing w:after="0" w:line="152"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Amended and Restated Investors’ Rights Agreement, dated as</w:t>
              </w:r>
            </w:hyperlink>
          </w:p>
        </w:tc>
        <w:tc>
          <w:tcPr>
            <w:tcW w:w="80" w:type="dxa"/>
            <w:vAlign w:val="bottom"/>
          </w:tcPr>
          <w:p>
            <w:pPr>
              <w:spacing w:after="0"/>
              <w:rPr>
                <w:sz w:val="13"/>
                <w:szCs w:val="13"/>
                <w:color w:val="auto"/>
              </w:rPr>
            </w:pPr>
          </w:p>
        </w:tc>
        <w:tc>
          <w:tcPr>
            <w:tcW w:w="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S-1</w:t>
            </w: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333-259168</w:t>
            </w: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7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8/30/2021</w:t>
            </w: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460" w:type="dxa"/>
            <w:vAlign w:val="bottom"/>
            <w:tcBorders>
              <w:bottom w:val="single" w:sz="8" w:color="0000FF"/>
            </w:tcBorders>
            <w:gridSpan w:val="12"/>
          </w:tcPr>
          <w:p>
            <w:pPr>
              <w:spacing w:after="0" w:line="152"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of May 28, 2021, as amended, by and among the Registrant</w:t>
              </w:r>
            </w:hyperlink>
          </w:p>
        </w:tc>
        <w:tc>
          <w:tcPr>
            <w:tcW w:w="220" w:type="dxa"/>
            <w:vAlign w:val="bottom"/>
            <w:gridSpan w:val="7"/>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176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and certain of its stockholders.</w:t>
              </w:r>
            </w:hyperlink>
          </w:p>
        </w:tc>
        <w:tc>
          <w:tcPr>
            <w:tcW w:w="1920" w:type="dxa"/>
            <w:vAlign w:val="bottom"/>
            <w:gridSpan w:val="14"/>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3580" w:type="dxa"/>
            <w:vAlign w:val="bottom"/>
            <w:tcBorders>
              <w:bottom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10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600" w:type="dxa"/>
            <w:vAlign w:val="bottom"/>
            <w:tcBorders>
              <w:bottom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380" w:type="dxa"/>
            <w:vAlign w:val="bottom"/>
            <w:tcBorders>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300" w:type="dxa"/>
            <w:vAlign w:val="bottom"/>
            <w:gridSpan w:val="9"/>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112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bottom w:val="single" w:sz="8" w:color="0000EE"/>
            </w:tcBorders>
          </w:tcPr>
          <w:p>
            <w:pPr>
              <w:spacing w:after="0"/>
              <w:rPr>
                <w:sz w:val="13"/>
                <w:szCs w:val="13"/>
                <w:color w:val="auto"/>
              </w:rPr>
            </w:pPr>
          </w:p>
        </w:tc>
        <w:tc>
          <w:tcPr>
            <w:tcW w:w="2540" w:type="dxa"/>
            <w:vAlign w:val="bottom"/>
            <w:gridSpan w:val="15"/>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3540" w:type="dxa"/>
            <w:vAlign w:val="bottom"/>
            <w:tcBorders>
              <w:bottom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14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600" w:type="dxa"/>
            <w:vAlign w:val="bottom"/>
            <w:tcBorders>
              <w:bottom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380" w:type="dxa"/>
            <w:vAlign w:val="bottom"/>
            <w:tcBorders>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300" w:type="dxa"/>
            <w:vAlign w:val="bottom"/>
            <w:gridSpan w:val="9"/>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112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bottom w:val="single" w:sz="8" w:color="0000EE"/>
            </w:tcBorders>
          </w:tcPr>
          <w:p>
            <w:pPr>
              <w:spacing w:after="0"/>
              <w:rPr>
                <w:sz w:val="13"/>
                <w:szCs w:val="13"/>
                <w:color w:val="auto"/>
              </w:rPr>
            </w:pPr>
          </w:p>
        </w:tc>
        <w:tc>
          <w:tcPr>
            <w:tcW w:w="2540" w:type="dxa"/>
            <w:vAlign w:val="bottom"/>
            <w:gridSpan w:val="15"/>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3400" w:type="dxa"/>
            <w:vAlign w:val="bottom"/>
            <w:tcBorders>
              <w:bottom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w:t>
            </w:r>
          </w:p>
        </w:tc>
        <w:tc>
          <w:tcPr>
            <w:tcW w:w="280" w:type="dxa"/>
            <w:vAlign w:val="bottom"/>
            <w:gridSpan w:val="8"/>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480" w:type="dxa"/>
            <w:vAlign w:val="bottom"/>
            <w:tcBorders>
              <w:bottom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200" w:type="dxa"/>
            <w:vAlign w:val="bottom"/>
            <w:gridSpan w:val="6"/>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68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32.2*</w:t>
            </w:r>
          </w:p>
        </w:tc>
        <w:tc>
          <w:tcPr>
            <w:tcW w:w="3360" w:type="dxa"/>
            <w:vAlign w:val="bottom"/>
            <w:tcBorders>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w:t>
            </w:r>
          </w:p>
        </w:tc>
        <w:tc>
          <w:tcPr>
            <w:tcW w:w="320" w:type="dxa"/>
            <w:vAlign w:val="bottom"/>
            <w:gridSpan w:val="10"/>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480" w:type="dxa"/>
            <w:vAlign w:val="bottom"/>
            <w:tcBorders>
              <w:bottom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200" w:type="dxa"/>
            <w:vAlign w:val="bottom"/>
            <w:gridSpan w:val="6"/>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68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9"/>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X</w:t>
            </w:r>
          </w:p>
        </w:tc>
      </w:tr>
      <w:tr>
        <w:trPr>
          <w:trHeight w:val="172"/>
        </w:trPr>
        <w:tc>
          <w:tcPr>
            <w:tcW w:w="680" w:type="dxa"/>
            <w:vAlign w:val="bottom"/>
          </w:tcPr>
          <w:p>
            <w:pPr>
              <w:spacing w:after="0"/>
              <w:rPr>
                <w:sz w:val="14"/>
                <w:szCs w:val="14"/>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not appear in the Interactive Data File because XBRL tags are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X</w:t>
            </w:r>
          </w:p>
        </w:tc>
      </w:tr>
      <w:tr>
        <w:trPr>
          <w:trHeight w:val="172"/>
        </w:trPr>
        <w:tc>
          <w:tcPr>
            <w:tcW w:w="680" w:type="dxa"/>
            <w:vAlign w:val="bottom"/>
          </w:tcPr>
          <w:p>
            <w:pPr>
              <w:spacing w:after="0"/>
              <w:rPr>
                <w:sz w:val="14"/>
                <w:szCs w:val="14"/>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Linkbase Documents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X</w:t>
            </w:r>
          </w:p>
        </w:tc>
      </w:tr>
      <w:tr>
        <w:trPr>
          <w:trHeight w:val="186"/>
        </w:trPr>
        <w:tc>
          <w:tcPr>
            <w:tcW w:w="680" w:type="dxa"/>
            <w:vAlign w:val="bottom"/>
          </w:tcPr>
          <w:p>
            <w:pPr>
              <w:spacing w:after="0"/>
              <w:rPr>
                <w:sz w:val="16"/>
                <w:szCs w:val="16"/>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158" w:lineRule="exact"/>
        <w:rPr>
          <w:sz w:val="20"/>
          <w:szCs w:val="20"/>
          <w:color w:val="auto"/>
        </w:rPr>
      </w:pPr>
    </w:p>
    <w:p>
      <w:pPr>
        <w:ind w:left="640" w:right="819" w:hanging="2"/>
        <w:spacing w:after="0" w:line="265" w:lineRule="auto"/>
        <w:tabs>
          <w:tab w:leader="none" w:pos="74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56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Amplitude, Inc.</w:t>
            </w:r>
          </w:p>
        </w:tc>
      </w:tr>
      <w:tr>
        <w:trPr>
          <w:trHeight w:val="345"/>
        </w:trPr>
        <w:tc>
          <w:tcPr>
            <w:tcW w:w="3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November 4, 2026</w:t>
            </w:r>
          </w:p>
        </w:tc>
        <w:tc>
          <w:tcPr>
            <w:tcW w:w="566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By: /s/ Spenser Skates</w:t>
            </w:r>
          </w:p>
        </w:tc>
      </w:tr>
      <w:tr>
        <w:trPr>
          <w:trHeight w:val="148"/>
        </w:trPr>
        <w:tc>
          <w:tcPr>
            <w:tcW w:w="3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Spenser Skates</w:t>
            </w:r>
          </w:p>
        </w:tc>
        <w:tc>
          <w:tcPr>
            <w:tcW w:w="520" w:type="dxa"/>
            <w:vAlign w:val="bottom"/>
          </w:tcPr>
          <w:p>
            <w:pPr>
              <w:spacing w:after="0"/>
              <w:rPr>
                <w:sz w:val="12"/>
                <w:szCs w:val="12"/>
                <w:color w:val="auto"/>
              </w:rPr>
            </w:pPr>
          </w:p>
        </w:tc>
      </w:tr>
      <w:tr>
        <w:trPr>
          <w:trHeight w:val="170"/>
        </w:trPr>
        <w:tc>
          <w:tcPr>
            <w:tcW w:w="3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8"/>
        </w:trPr>
        <w:tc>
          <w:tcPr>
            <w:tcW w:w="3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45"/>
        </w:trPr>
        <w:tc>
          <w:tcPr>
            <w:tcW w:w="3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November 4, 2026</w:t>
            </w:r>
          </w:p>
        </w:tc>
        <w:tc>
          <w:tcPr>
            <w:tcW w:w="566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By: /s/ Andrew Casey</w:t>
            </w:r>
          </w:p>
        </w:tc>
      </w:tr>
      <w:tr>
        <w:trPr>
          <w:trHeight w:val="148"/>
        </w:trPr>
        <w:tc>
          <w:tcPr>
            <w:tcW w:w="3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Andrew Casey</w:t>
            </w:r>
          </w:p>
        </w:tc>
        <w:tc>
          <w:tcPr>
            <w:tcW w:w="520" w:type="dxa"/>
            <w:vAlign w:val="bottom"/>
          </w:tcPr>
          <w:p>
            <w:pPr>
              <w:spacing w:after="0"/>
              <w:rPr>
                <w:sz w:val="12"/>
                <w:szCs w:val="12"/>
                <w:color w:val="auto"/>
              </w:rPr>
            </w:pPr>
          </w:p>
        </w:tc>
      </w:tr>
      <w:tr>
        <w:trPr>
          <w:trHeight w:val="170"/>
        </w:trPr>
        <w:tc>
          <w:tcPr>
            <w:tcW w:w="3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3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r>
      <w:tr>
        <w:trPr>
          <w:trHeight w:val="537"/>
        </w:trPr>
        <w:tc>
          <w:tcPr>
            <w:tcW w:w="3120" w:type="dxa"/>
            <w:vAlign w:val="bottom"/>
          </w:tcPr>
          <w:p>
            <w:pPr>
              <w:spacing w:after="0"/>
              <w:rPr>
                <w:sz w:val="24"/>
                <w:szCs w:val="24"/>
                <w:color w:val="auto"/>
              </w:rPr>
            </w:pP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w:t>
            </w:r>
          </w:p>
        </w:tc>
        <w:tc>
          <w:tcPr>
            <w:tcW w:w="3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3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RULES 13a-14(a) AND 15d-14(a) UNDER THE SECURITIES EXCHANGE ACT OF 1934,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Spenser Skates, certify that:</w:t>
      </w:r>
    </w:p>
    <w:p>
      <w:pPr>
        <w:spacing w:after="0" w:line="183" w:lineRule="exact"/>
        <w:rPr>
          <w:sz w:val="20"/>
          <w:szCs w:val="20"/>
          <w:color w:val="auto"/>
        </w:rPr>
      </w:pPr>
    </w:p>
    <w:p>
      <w:pPr>
        <w:ind w:left="520" w:hanging="514"/>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Amplitude, Inc.;</w:t>
      </w:r>
    </w:p>
    <w:p>
      <w:pPr>
        <w:spacing w:after="0" w:line="182" w:lineRule="exact"/>
        <w:rPr>
          <w:rFonts w:ascii="Times New Roman" w:cs="Times New Roman" w:eastAsia="Times New Roman" w:hAnsi="Times New Roman"/>
          <w:sz w:val="14"/>
          <w:szCs w:val="14"/>
          <w:color w:val="auto"/>
        </w:rPr>
      </w:pPr>
    </w:p>
    <w:p>
      <w:pPr>
        <w:ind w:left="520" w:right="60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right="6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right="26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1020" w:right="240" w:hanging="504"/>
        <w:spacing w:after="0" w:line="274"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020" w:right="440" w:hanging="504"/>
        <w:spacing w:after="0" w:line="274"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020" w:right="40" w:hanging="504"/>
        <w:spacing w:after="0" w:line="292"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1020" w:right="60" w:hanging="504"/>
        <w:spacing w:after="0" w:line="292"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520" w:right="42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1020" w:right="380" w:hanging="504"/>
        <w:spacing w:after="0" w:line="292"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5680" w:val="left"/>
          <w:tab w:leader="none" w:pos="8120" w:val="left"/>
        </w:tabs>
        <w:rPr>
          <w:sz w:val="20"/>
          <w:szCs w:val="20"/>
          <w:color w:val="auto"/>
        </w:rPr>
      </w:pPr>
      <w:r>
        <w:rPr>
          <w:rFonts w:ascii="Times New Roman" w:cs="Times New Roman" w:eastAsia="Times New Roman" w:hAnsi="Times New Roman"/>
          <w:sz w:val="14"/>
          <w:szCs w:val="14"/>
          <w:color w:val="auto"/>
        </w:rPr>
        <w:t>Date: November 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Spenser Skates</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RULES 13a-14(a) AND 15d-14(a) UNDER THE SECURITIES EXCHANGE ACT OF 1934,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Casey, certify that:</w:t>
      </w:r>
    </w:p>
    <w:p>
      <w:pPr>
        <w:spacing w:after="0" w:line="183" w:lineRule="exact"/>
        <w:rPr>
          <w:sz w:val="20"/>
          <w:szCs w:val="20"/>
          <w:color w:val="auto"/>
        </w:rPr>
      </w:pPr>
    </w:p>
    <w:p>
      <w:pPr>
        <w:ind w:left="520" w:hanging="514"/>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Amplitude, Inc.;</w:t>
      </w:r>
    </w:p>
    <w:p>
      <w:pPr>
        <w:spacing w:after="0" w:line="182" w:lineRule="exact"/>
        <w:rPr>
          <w:rFonts w:ascii="Times New Roman" w:cs="Times New Roman" w:eastAsia="Times New Roman" w:hAnsi="Times New Roman"/>
          <w:sz w:val="14"/>
          <w:szCs w:val="14"/>
          <w:color w:val="auto"/>
        </w:rPr>
      </w:pPr>
    </w:p>
    <w:p>
      <w:pPr>
        <w:ind w:left="520" w:right="600" w:hanging="514"/>
        <w:spacing w:after="0" w:line="292"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right="60" w:hanging="514"/>
        <w:spacing w:after="0" w:line="292"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right="260" w:hanging="514"/>
        <w:spacing w:after="0" w:line="292"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1020" w:right="240" w:hanging="504"/>
        <w:spacing w:after="0" w:line="274" w:lineRule="auto"/>
        <w:tabs>
          <w:tab w:leader="none" w:pos="1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020" w:right="440" w:hanging="504"/>
        <w:spacing w:after="0" w:line="274" w:lineRule="auto"/>
        <w:tabs>
          <w:tab w:leader="none" w:pos="1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020" w:right="40" w:hanging="504"/>
        <w:spacing w:after="0" w:line="292" w:lineRule="auto"/>
        <w:tabs>
          <w:tab w:leader="none" w:pos="1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1020" w:right="60" w:hanging="504"/>
        <w:spacing w:after="0" w:line="292" w:lineRule="auto"/>
        <w:tabs>
          <w:tab w:leader="none" w:pos="1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520" w:right="420" w:hanging="514"/>
        <w:spacing w:after="0" w:line="292"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1020" w:right="380" w:hanging="504"/>
        <w:spacing w:after="0" w:line="292" w:lineRule="auto"/>
        <w:tabs>
          <w:tab w:leader="none" w:pos="1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4"/>
          <w:szCs w:val="14"/>
          <w:color w:val="auto"/>
        </w:rPr>
        <w:t>Date: November 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Andrew Casey</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right="680" w:firstLine="511"/>
        <w:spacing w:after="0" w:line="292" w:lineRule="auto"/>
        <w:rPr>
          <w:sz w:val="20"/>
          <w:szCs w:val="20"/>
          <w:color w:val="auto"/>
        </w:rPr>
      </w:pPr>
      <w:r>
        <w:rPr>
          <w:rFonts w:ascii="Times New Roman" w:cs="Times New Roman" w:eastAsia="Times New Roman" w:hAnsi="Times New Roman"/>
          <w:sz w:val="14"/>
          <w:szCs w:val="14"/>
          <w:color w:val="auto"/>
        </w:rPr>
        <w:t>In connection with the Quarterly Report of Amplitude, Inc. (the “Company”) on Form 10-Q for the quarter ended September 30, 2026 as filed with the Securities and Exchange Commission on the date hereof (the “Report”), I certify, pursuant to 18 U.S.C. § 1350, as adopted pursuant to § 906 of the Sarbanes-Oxley Act of 2002, as amended, that:</w:t>
      </w:r>
    </w:p>
    <w:p>
      <w:pPr>
        <w:spacing w:after="0" w:line="124"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2"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680" w:val="left"/>
          <w:tab w:leader="none" w:pos="8120" w:val="left"/>
        </w:tabs>
        <w:rPr>
          <w:sz w:val="20"/>
          <w:szCs w:val="20"/>
          <w:color w:val="auto"/>
        </w:rPr>
      </w:pPr>
      <w:r>
        <w:rPr>
          <w:rFonts w:ascii="Times New Roman" w:cs="Times New Roman" w:eastAsia="Times New Roman" w:hAnsi="Times New Roman"/>
          <w:sz w:val="14"/>
          <w:szCs w:val="14"/>
          <w:color w:val="auto"/>
        </w:rPr>
        <w:t>Date: November 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Spenser Skates</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right="680" w:firstLine="511"/>
        <w:spacing w:after="0" w:line="292" w:lineRule="auto"/>
        <w:rPr>
          <w:sz w:val="20"/>
          <w:szCs w:val="20"/>
          <w:color w:val="auto"/>
        </w:rPr>
      </w:pPr>
      <w:r>
        <w:rPr>
          <w:rFonts w:ascii="Times New Roman" w:cs="Times New Roman" w:eastAsia="Times New Roman" w:hAnsi="Times New Roman"/>
          <w:sz w:val="14"/>
          <w:szCs w:val="14"/>
          <w:color w:val="auto"/>
        </w:rPr>
        <w:t>In connection with the Quarterly Report of Amplitude, Inc. (the “Company”) on Form 10-Q for the quarter ended September 30, 2026 as filed with the Securities and Exchange Commission on the date hereof (the “Report”), I certify, pursuant to 18 U.S.C. § 1350, as adopted pursuant to § 906 of the Sarbanes-Oxley Act of 2002, as amended, that:</w:t>
      </w:r>
    </w:p>
    <w:p>
      <w:pPr>
        <w:spacing w:after="0" w:line="124"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2"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4"/>
          <w:szCs w:val="14"/>
          <w:color w:val="auto"/>
        </w:rPr>
        <w:t>Date: November 4,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Andrew Casey</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2"/>
    </w:lvl>
  </w:abstractNum>
  <w:abstractNum w:abstractNumId="8">
    <w:nsid w:val="4353D0CD"/>
    <w:multiLevelType w:val="hybridMultilevel"/>
    <w:lvl w:ilvl="0">
      <w:lvlJc w:val="left"/>
      <w:lvlText w:val="(%1)"/>
      <w:numFmt w:val="decimal"/>
      <w:start w:val="3"/>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5"/>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7"/>
    </w:lvl>
  </w:abstractNum>
  <w:abstractNum w:abstractNumId="14">
    <w:nsid w:val="836C40E"/>
    <w:multiLevelType w:val="hybridMultilevel"/>
    <w:lvl w:ilvl="0">
      <w:lvlJc w:val="left"/>
      <w:lvlText w:val="(%1)"/>
      <w:numFmt w:val="decimal"/>
      <w:start w:val="8"/>
    </w:lvl>
  </w:abstractNum>
  <w:abstractNum w:abstractNumId="15">
    <w:nsid w:val="2901D82"/>
    <w:multiLevelType w:val="hybridMultilevel"/>
    <w:lvl w:ilvl="0">
      <w:lvlJc w:val="left"/>
      <w:lvlText w:val="(%1)"/>
      <w:numFmt w:val="decimal"/>
      <w:start w:val="9"/>
    </w:lvl>
  </w:abstractNum>
  <w:abstractNum w:abstractNumId="16">
    <w:nsid w:val="3A95F874"/>
    <w:multiLevelType w:val="hybridMultilevel"/>
    <w:lvl w:ilvl="0">
      <w:lvlJc w:val="left"/>
      <w:lvlText w:val="(%1)"/>
      <w:numFmt w:val="decimal"/>
      <w:start w:val="10"/>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81" Type="http://schemas.openxmlformats.org/officeDocument/2006/relationships/hyperlink" Target="https://www.sec.gov/Archives/edgar/data/1866692/000119312524159934/d806887dex31.htm" TargetMode="External"/><Relationship Id="rId282" Type="http://schemas.openxmlformats.org/officeDocument/2006/relationships/hyperlink" Target="https://www.sec.gov/Archives/edgar/data/1866692/000119312521278308/d93786dex32.htm" TargetMode="External"/><Relationship Id="rId283" Type="http://schemas.openxmlformats.org/officeDocument/2006/relationships/hyperlink" Target="https://www.sec.gov/Archives/edgar/data/1866692/000119312521260696/d143868dex42.htm" TargetMode="External"/><Relationship Id="rId284" Type="http://schemas.openxmlformats.org/officeDocument/2006/relationships/hyperlink" Target="https://www.sec.gov/Archives/edgar/data/1866692/000119312521278407/d114916dex44.htm" TargetMode="External"/><Relationship Id="rId285"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2026-11-05T05:15:41Z</dcterms:created>
  <dcterms:modified xsi:type="dcterms:W3CDTF">2026-11-05T05:15:41Z</dcterms:modified>
</cp:coreProperties>
</file>