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Skates Spenser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748"/>
        <w:gridCol w:w="1308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52,369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13.03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1,231,188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withheld by the Issuer solely to satisfy tax withholding obligations in connection with the net issuance of shares of the Issuer's Class A Common Stock delivered to the reporting person on August 15, 2026, from the vesting of restricted stock units ("RSUs"), and does not represent a sale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1,102,599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Spenser Skates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913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3431</Characters>
  <CharactersWithSpaces>3998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