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Grady Patrick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2800 SAND HILL ROAD,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Amplitude,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AMPL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06/09/2026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265"/>
          </w:cols>
          <w:pgMar w:left="460" w:top="219" w:right="439" w:bottom="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08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7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7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jc w:val="right"/>
              <w:ind w:right="167"/>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4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06/09/2026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24,857</w:t>
            </w:r>
            <w:r>
              <w:rPr>
                <w:rFonts w:ascii="Times New Roman" w:cs="Times New Roman" w:eastAsia="Times New Roman" w:hAnsi="Times New Roman"/>
                <w:sz w:val="22"/>
                <w:szCs w:val="22"/>
                <w:color w:val="008000"/>
                <w:vertAlign w:val="superscript"/>
              </w:rPr>
              <w:t>(1)</w:t>
            </w:r>
          </w:p>
        </w:tc>
        <w:tc>
          <w:tcPr>
            <w:tcW w:w="4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12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85,806</w:t>
            </w:r>
            <w:r>
              <w:rPr>
                <w:rFonts w:ascii="Times New Roman" w:cs="Times New Roman" w:eastAsia="Times New Roman" w:hAnsi="Times New Roman"/>
                <w:sz w:val="22"/>
                <w:szCs w:val="22"/>
                <w:color w:val="008000"/>
                <w:w w:val="93"/>
                <w:vertAlign w:val="superscript"/>
              </w:rPr>
              <w:t>(2)</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Sequoia</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13"/>
        </w:trPr>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2,225,077</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U.S.</w:t>
            </w:r>
          </w:p>
        </w:tc>
        <w:tc>
          <w:tcPr>
            <w:tcW w:w="0" w:type="dxa"/>
            <w:vAlign w:val="bottom"/>
          </w:tcPr>
          <w:p>
            <w:pPr>
              <w:spacing w:after="0"/>
              <w:rPr>
                <w:sz w:val="1"/>
                <w:szCs w:val="1"/>
                <w:color w:val="auto"/>
              </w:rPr>
            </w:pPr>
          </w:p>
        </w:tc>
      </w:tr>
      <w:tr>
        <w:trPr>
          <w:trHeight w:val="120"/>
        </w:trPr>
        <w:tc>
          <w:tcPr>
            <w:tcW w:w="2460" w:type="dxa"/>
            <w:vAlign w:val="bottom"/>
            <w:vMerge w:val="continue"/>
          </w:tcPr>
          <w:p>
            <w:pPr>
              <w:spacing w:after="0"/>
              <w:rPr>
                <w:sz w:val="10"/>
                <w:szCs w:val="10"/>
                <w:color w:val="auto"/>
              </w:rPr>
            </w:pPr>
          </w:p>
        </w:tc>
        <w:tc>
          <w:tcPr>
            <w:tcW w:w="17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Growth</w:t>
            </w:r>
          </w:p>
        </w:tc>
        <w:tc>
          <w:tcPr>
            <w:tcW w:w="0" w:type="dxa"/>
            <w:vAlign w:val="bottom"/>
          </w:tcPr>
          <w:p>
            <w:pPr>
              <w:spacing w:after="0"/>
              <w:rPr>
                <w:sz w:val="1"/>
                <w:szCs w:val="1"/>
                <w:color w:val="auto"/>
              </w:rPr>
            </w:pPr>
          </w:p>
        </w:tc>
      </w:tr>
      <w:tr>
        <w:trPr>
          <w:trHeight w:val="93"/>
        </w:trPr>
        <w:tc>
          <w:tcPr>
            <w:tcW w:w="24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Fund IX,</w:t>
            </w:r>
          </w:p>
        </w:tc>
        <w:tc>
          <w:tcPr>
            <w:tcW w:w="0" w:type="dxa"/>
            <w:vAlign w:val="bottom"/>
          </w:tcPr>
          <w:p>
            <w:pPr>
              <w:spacing w:after="0"/>
              <w:rPr>
                <w:sz w:val="1"/>
                <w:szCs w:val="1"/>
                <w:color w:val="auto"/>
              </w:rPr>
            </w:pPr>
          </w:p>
        </w:tc>
      </w:tr>
      <w:tr>
        <w:trPr>
          <w:trHeight w:val="288"/>
        </w:trPr>
        <w:tc>
          <w:tcPr>
            <w:tcW w:w="24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(3)(4)</w:t>
            </w:r>
          </w:p>
        </w:tc>
        <w:tc>
          <w:tcPr>
            <w:tcW w:w="0" w:type="dxa"/>
            <w:vAlign w:val="bottom"/>
          </w:tcPr>
          <w:p>
            <w:pPr>
              <w:spacing w:after="0"/>
              <w:rPr>
                <w:sz w:val="1"/>
                <w:szCs w:val="1"/>
                <w:color w:val="auto"/>
              </w:rPr>
            </w:pPr>
          </w:p>
        </w:tc>
      </w:tr>
      <w:tr>
        <w:trPr>
          <w:trHeight w:val="252"/>
        </w:trPr>
        <w:tc>
          <w:tcPr>
            <w:tcW w:w="24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Sequoia</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U.S.</w:t>
            </w:r>
          </w:p>
        </w:tc>
        <w:tc>
          <w:tcPr>
            <w:tcW w:w="0" w:type="dxa"/>
            <w:vAlign w:val="bottom"/>
          </w:tcPr>
          <w:p>
            <w:pPr>
              <w:spacing w:after="0"/>
              <w:rPr>
                <w:sz w:val="1"/>
                <w:szCs w:val="1"/>
                <w:color w:val="auto"/>
              </w:rPr>
            </w:pPr>
          </w:p>
        </w:tc>
      </w:tr>
      <w:tr>
        <w:trPr>
          <w:trHeight w:val="213"/>
        </w:trPr>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242,788</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Growth</w:t>
            </w:r>
          </w:p>
        </w:tc>
        <w:tc>
          <w:tcPr>
            <w:tcW w:w="0" w:type="dxa"/>
            <w:vAlign w:val="bottom"/>
          </w:tcPr>
          <w:p>
            <w:pPr>
              <w:spacing w:after="0"/>
              <w:rPr>
                <w:sz w:val="1"/>
                <w:szCs w:val="1"/>
                <w:color w:val="auto"/>
              </w:rPr>
            </w:pPr>
          </w:p>
        </w:tc>
      </w:tr>
      <w:tr>
        <w:trPr>
          <w:trHeight w:val="120"/>
        </w:trPr>
        <w:tc>
          <w:tcPr>
            <w:tcW w:w="2460" w:type="dxa"/>
            <w:vAlign w:val="bottom"/>
            <w:vMerge w:val="continue"/>
          </w:tcPr>
          <w:p>
            <w:pPr>
              <w:spacing w:after="0"/>
              <w:rPr>
                <w:sz w:val="10"/>
                <w:szCs w:val="10"/>
                <w:color w:val="auto"/>
              </w:rPr>
            </w:pPr>
          </w:p>
        </w:tc>
        <w:tc>
          <w:tcPr>
            <w:tcW w:w="17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IX</w:t>
            </w:r>
          </w:p>
        </w:tc>
        <w:tc>
          <w:tcPr>
            <w:tcW w:w="0" w:type="dxa"/>
            <w:vAlign w:val="bottom"/>
          </w:tcPr>
          <w:p>
            <w:pPr>
              <w:spacing w:after="0"/>
              <w:rPr>
                <w:sz w:val="1"/>
                <w:szCs w:val="1"/>
                <w:color w:val="auto"/>
              </w:rPr>
            </w:pPr>
          </w:p>
        </w:tc>
      </w:tr>
      <w:tr>
        <w:trPr>
          <w:trHeight w:val="93"/>
        </w:trPr>
        <w:tc>
          <w:tcPr>
            <w:tcW w:w="24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Principals</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Fund,</w:t>
            </w:r>
          </w:p>
        </w:tc>
        <w:tc>
          <w:tcPr>
            <w:tcW w:w="0" w:type="dxa"/>
            <w:vAlign w:val="bottom"/>
          </w:tcPr>
          <w:p>
            <w:pPr>
              <w:spacing w:after="0"/>
              <w:rPr>
                <w:sz w:val="1"/>
                <w:szCs w:val="1"/>
                <w:color w:val="auto"/>
              </w:rPr>
            </w:pPr>
          </w:p>
        </w:tc>
      </w:tr>
      <w:tr>
        <w:trPr>
          <w:trHeight w:val="288"/>
        </w:trPr>
        <w:tc>
          <w:tcPr>
            <w:tcW w:w="24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(3)(4)</w:t>
            </w:r>
          </w:p>
        </w:tc>
        <w:tc>
          <w:tcPr>
            <w:tcW w:w="0" w:type="dxa"/>
            <w:vAlign w:val="bottom"/>
          </w:tcPr>
          <w:p>
            <w:pPr>
              <w:spacing w:after="0"/>
              <w:rPr>
                <w:sz w:val="1"/>
                <w:szCs w:val="1"/>
                <w:color w:val="auto"/>
              </w:rPr>
            </w:pPr>
          </w:p>
        </w:tc>
      </w:tr>
      <w:tr>
        <w:trPr>
          <w:trHeight w:val="252"/>
        </w:trPr>
        <w:tc>
          <w:tcPr>
            <w:tcW w:w="24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Sequoia</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U.S.</w:t>
            </w:r>
          </w:p>
        </w:tc>
        <w:tc>
          <w:tcPr>
            <w:tcW w:w="0" w:type="dxa"/>
            <w:vAlign w:val="bottom"/>
          </w:tcPr>
          <w:p>
            <w:pPr>
              <w:spacing w:after="0"/>
              <w:rPr>
                <w:sz w:val="1"/>
                <w:szCs w:val="1"/>
                <w:color w:val="auto"/>
              </w:rPr>
            </w:pPr>
          </w:p>
        </w:tc>
      </w:tr>
      <w:tr>
        <w:trPr>
          <w:trHeight w:val="213"/>
        </w:trPr>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95,885</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Growth</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Fund IX,</w:t>
            </w:r>
          </w:p>
        </w:tc>
        <w:tc>
          <w:tcPr>
            <w:tcW w:w="0" w:type="dxa"/>
            <w:vAlign w:val="bottom"/>
          </w:tcPr>
          <w:p>
            <w:pPr>
              <w:spacing w:after="0"/>
              <w:rPr>
                <w:sz w:val="1"/>
                <w:szCs w:val="1"/>
                <w:color w:val="auto"/>
              </w:rPr>
            </w:pPr>
          </w:p>
        </w:tc>
      </w:tr>
      <w:tr>
        <w:trPr>
          <w:trHeight w:val="288"/>
        </w:trPr>
        <w:tc>
          <w:tcPr>
            <w:tcW w:w="24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(3)(4)</w:t>
            </w:r>
          </w:p>
        </w:tc>
        <w:tc>
          <w:tcPr>
            <w:tcW w:w="0" w:type="dxa"/>
            <w:vAlign w:val="bottom"/>
          </w:tcPr>
          <w:p>
            <w:pPr>
              <w:spacing w:after="0"/>
              <w:rPr>
                <w:sz w:val="1"/>
                <w:szCs w:val="1"/>
                <w:color w:val="auto"/>
              </w:rPr>
            </w:pPr>
          </w:p>
        </w:tc>
      </w:tr>
      <w:tr>
        <w:trPr>
          <w:trHeight w:val="252"/>
        </w:trPr>
        <w:tc>
          <w:tcPr>
            <w:tcW w:w="24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Sequoia</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U.S.</w:t>
            </w:r>
          </w:p>
        </w:tc>
        <w:tc>
          <w:tcPr>
            <w:tcW w:w="0" w:type="dxa"/>
            <w:vAlign w:val="bottom"/>
          </w:tcPr>
          <w:p>
            <w:pPr>
              <w:spacing w:after="0"/>
              <w:rPr>
                <w:sz w:val="1"/>
                <w:szCs w:val="1"/>
                <w:color w:val="auto"/>
              </w:rPr>
            </w:pPr>
          </w:p>
        </w:tc>
      </w:tr>
      <w:tr>
        <w:trPr>
          <w:trHeight w:val="233"/>
        </w:trPr>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235,201</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Venture</w:t>
            </w:r>
          </w:p>
        </w:tc>
        <w:tc>
          <w:tcPr>
            <w:tcW w:w="0" w:type="dxa"/>
            <w:vAlign w:val="bottom"/>
          </w:tcPr>
          <w:p>
            <w:pPr>
              <w:spacing w:after="0"/>
              <w:rPr>
                <w:sz w:val="1"/>
                <w:szCs w:val="1"/>
                <w:color w:val="auto"/>
              </w:rPr>
            </w:pPr>
          </w:p>
        </w:tc>
      </w:tr>
    </w:tbl>
    <w:p>
      <w:pPr>
        <w:ind w:left="10200"/>
        <w:spacing w:after="0"/>
        <w:rPr>
          <w:sz w:val="20"/>
          <w:szCs w:val="20"/>
          <w:color w:val="auto"/>
        </w:rPr>
      </w:pPr>
      <w:r>
        <w:rPr>
          <w:rFonts w:ascii="Times New Roman" w:cs="Times New Roman" w:eastAsia="Times New Roman" w:hAnsi="Times New Roman"/>
          <w:sz w:val="17"/>
          <w:szCs w:val="17"/>
          <w:color w:val="0000FF"/>
        </w:rPr>
        <w:t>2010-</w:t>
      </w:r>
    </w:p>
    <w:p>
      <w:pPr>
        <w:spacing w:after="0" w:line="11" w:lineRule="exact"/>
        <w:rPr>
          <w:sz w:val="24"/>
          <w:szCs w:val="24"/>
          <w:color w:val="auto"/>
        </w:rPr>
      </w:pPr>
    </w:p>
    <w:p>
      <w:pPr>
        <w:ind w:left="10200"/>
        <w:spacing w:after="0"/>
        <w:rPr>
          <w:sz w:val="20"/>
          <w:szCs w:val="20"/>
          <w:color w:val="auto"/>
        </w:rPr>
      </w:pPr>
      <w:r>
        <w:rPr>
          <w:rFonts w:ascii="Times New Roman" w:cs="Times New Roman" w:eastAsia="Times New Roman" w:hAnsi="Times New Roman"/>
          <w:sz w:val="17"/>
          <w:szCs w:val="17"/>
          <w:color w:val="0000FF"/>
        </w:rPr>
        <w:t>Seed</w:t>
      </w:r>
    </w:p>
    <w:p>
      <w:pPr>
        <w:spacing w:after="0" w:line="18" w:lineRule="exact"/>
        <w:rPr>
          <w:sz w:val="24"/>
          <w:szCs w:val="24"/>
          <w:color w:val="auto"/>
        </w:rPr>
      </w:pPr>
    </w:p>
    <w:p>
      <w:pPr>
        <w:ind w:left="10200"/>
        <w:spacing w:after="0"/>
        <w:rPr>
          <w:sz w:val="20"/>
          <w:szCs w:val="20"/>
          <w:color w:val="auto"/>
        </w:rPr>
      </w:pPr>
      <w:r>
        <w:rPr>
          <w:rFonts w:ascii="Times New Roman" w:cs="Times New Roman" w:eastAsia="Times New Roman" w:hAnsi="Times New Roman"/>
          <w:sz w:val="17"/>
          <w:szCs w:val="17"/>
          <w:color w:val="0000FF"/>
        </w:rPr>
        <w:t>Fund,</w:t>
      </w:r>
    </w:p>
    <w:p>
      <w:pPr>
        <w:ind w:left="10200"/>
        <w:spacing w:after="0" w:line="185" w:lineRule="auto"/>
        <w:rPr>
          <w:sz w:val="20"/>
          <w:szCs w:val="20"/>
          <w:color w:val="auto"/>
        </w:rPr>
      </w:pPr>
      <w:r>
        <w:rPr>
          <w:rFonts w:ascii="Times New Roman" w:cs="Times New Roman" w:eastAsia="Times New Roman" w:hAnsi="Times New Roman"/>
          <w:sz w:val="26"/>
          <w:szCs w:val="26"/>
          <w:color w:val="0000FF"/>
          <w:vertAlign w:val="subscript"/>
        </w:rPr>
        <w:t>L.P.</w:t>
      </w:r>
      <w:r>
        <w:rPr>
          <w:rFonts w:ascii="Times New Roman" w:cs="Times New Roman" w:eastAsia="Times New Roman" w:hAnsi="Times New Roman"/>
          <w:sz w:val="10"/>
          <w:szCs w:val="10"/>
          <w:color w:val="008000"/>
        </w:rPr>
        <w:t>(3)(4)</w:t>
      </w:r>
    </w:p>
    <w:p>
      <w:pPr>
        <w:spacing w:after="0" w:line="147"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1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6"/>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150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bl>
    <w:p>
      <w:pPr>
        <w:sectPr>
          <w:pgSz w:w="11900" w:h="16838" w:orient="portrait"/>
          <w:cols w:equalWidth="0" w:num="1">
            <w:col w:w="11000"/>
          </w:cols>
          <w:pgMar w:left="460" w:top="219" w:right="4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0605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4055" cy="2060575"/>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800" w:type="dxa"/>
            <w:vAlign w:val="bottom"/>
            <w:gridSpan w:val="2"/>
          </w:tcPr>
          <w:p>
            <w:pPr>
              <w:ind w:left="80"/>
              <w:spacing w:after="0" w:line="122" w:lineRule="exact"/>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line="122" w:lineRule="exact"/>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4Code.  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0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70"/>
              </w:rPr>
              <w:t>6Exercisable.DateExercisableDate and</w:t>
            </w:r>
          </w:p>
        </w:tc>
        <w:tc>
          <w:tcPr>
            <w:tcW w:w="1020" w:type="dxa"/>
            <w:vAlign w:val="bottom"/>
          </w:tcPr>
          <w:p>
            <w:pPr>
              <w:ind w:left="100"/>
              <w:spacing w:after="0" w:line="122"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1"/>
        </w:trPr>
        <w:tc>
          <w:tcPr>
            <w:tcW w:w="80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w:t>
            </w:r>
          </w:p>
        </w:tc>
        <w:tc>
          <w:tcPr>
            <w:tcW w:w="150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45"/>
        </w:trPr>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w w:val="75"/>
              </w:rPr>
              <w:t>Explanation</w:t>
            </w:r>
            <w:r>
              <w:rPr>
                <w:rFonts w:ascii="Arial" w:cs="Arial" w:eastAsia="Arial" w:hAnsi="Arial"/>
                <w:sz w:val="9"/>
                <w:szCs w:val="9"/>
                <w:b w:val="1"/>
                <w:bCs w:val="1"/>
                <w:color w:val="auto"/>
                <w:w w:val="75"/>
              </w:rPr>
              <w:t>Security</w:t>
            </w:r>
          </w:p>
        </w:tc>
        <w:tc>
          <w:tcPr>
            <w:tcW w:w="1860" w:type="dxa"/>
            <w:vAlign w:val="bottom"/>
            <w:gridSpan w:val="2"/>
          </w:tcPr>
          <w:p>
            <w:pPr>
              <w:spacing w:after="0" w:line="146" w:lineRule="exact"/>
              <w:rPr>
                <w:sz w:val="20"/>
                <w:szCs w:val="20"/>
                <w:color w:val="auto"/>
              </w:rPr>
            </w:pPr>
            <w:r>
              <w:rPr>
                <w:rFonts w:ascii="Arial" w:cs="Arial" w:eastAsia="Arial" w:hAnsi="Arial"/>
                <w:sz w:val="12"/>
                <w:szCs w:val="12"/>
                <w:b w:val="1"/>
                <w:bCs w:val="1"/>
                <w:color w:val="auto"/>
                <w:w w:val="76"/>
              </w:rPr>
              <w:t>or</w:t>
            </w:r>
            <w:r>
              <w:rPr>
                <w:rFonts w:ascii="Arial" w:cs="Arial" w:eastAsia="Arial" w:hAnsi="Arial"/>
                <w:sz w:val="13"/>
                <w:szCs w:val="13"/>
                <w:b w:val="1"/>
                <w:bCs w:val="1"/>
                <w:color w:val="auto"/>
                <w:w w:val="76"/>
              </w:rPr>
              <w:t>of</w:t>
            </w:r>
            <w:r>
              <w:rPr>
                <w:rFonts w:ascii="Arial" w:cs="Arial" w:eastAsia="Arial" w:hAnsi="Arial"/>
                <w:sz w:val="12"/>
                <w:szCs w:val="12"/>
                <w:b w:val="1"/>
                <w:bCs w:val="1"/>
                <w:color w:val="auto"/>
                <w:w w:val="76"/>
              </w:rPr>
              <w:t>Ex</w:t>
            </w:r>
            <w:r>
              <w:rPr>
                <w:rFonts w:ascii="Arial" w:cs="Arial" w:eastAsia="Arial" w:hAnsi="Arial"/>
                <w:sz w:val="13"/>
                <w:szCs w:val="13"/>
                <w:b w:val="1"/>
                <w:bCs w:val="1"/>
                <w:color w:val="auto"/>
                <w:w w:val="76"/>
              </w:rPr>
              <w:t>Responses:</w:t>
            </w:r>
            <w:r>
              <w:rPr>
                <w:rFonts w:ascii="Arial" w:cs="Arial" w:eastAsia="Arial" w:hAnsi="Arial"/>
                <w:sz w:val="12"/>
                <w:szCs w:val="12"/>
                <w:b w:val="1"/>
                <w:bCs w:val="1"/>
                <w:color w:val="auto"/>
                <w:w w:val="76"/>
              </w:rPr>
              <w:t>rcise(Month/Day/Year)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1500" w:type="dxa"/>
            <w:vAlign w:val="bottom"/>
          </w:tcPr>
          <w:p>
            <w:pPr>
              <w:ind w:left="60"/>
              <w:spacing w:after="0"/>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1"/>
        </w:trPr>
        <w:tc>
          <w:tcPr>
            <w:tcW w:w="80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0"/>
                <w:szCs w:val="10"/>
                <w:color w:val="auto"/>
              </w:rPr>
            </w:pP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1500" w:type="dxa"/>
            <w:vAlign w:val="bottom"/>
          </w:tcPr>
          <w:p>
            <w:pPr>
              <w:spacing w:after="0"/>
              <w:rPr>
                <w:sz w:val="10"/>
                <w:szCs w:val="10"/>
                <w:color w:val="auto"/>
              </w:rPr>
            </w:pPr>
          </w:p>
        </w:tc>
        <w:tc>
          <w:tcPr>
            <w:tcW w:w="102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67"/>
        </w:trPr>
        <w:tc>
          <w:tcPr>
            <w:tcW w:w="160" w:type="dxa"/>
            <w:vAlign w:val="bottom"/>
          </w:tcPr>
          <w:p>
            <w:pPr>
              <w:ind w:left="40"/>
              <w:spacing w:after="0" w:line="67" w:lineRule="exact"/>
              <w:rPr>
                <w:sz w:val="20"/>
                <w:szCs w:val="20"/>
                <w:color w:val="auto"/>
              </w:rPr>
            </w:pPr>
            <w:r>
              <w:rPr>
                <w:rFonts w:ascii="Times New Roman" w:cs="Times New Roman" w:eastAsia="Times New Roman" w:hAnsi="Times New Roman"/>
                <w:sz w:val="7"/>
                <w:szCs w:val="7"/>
                <w:color w:val="008000"/>
              </w:rPr>
              <w:t>1.</w:t>
            </w:r>
          </w:p>
        </w:tc>
        <w:tc>
          <w:tcPr>
            <w:tcW w:w="10920" w:type="dxa"/>
            <w:vAlign w:val="bottom"/>
            <w:gridSpan w:val="12"/>
          </w:tcPr>
          <w:p>
            <w:pPr>
              <w:ind w:left="20"/>
              <w:spacing w:after="0" w:line="67" w:lineRule="exact"/>
              <w:rPr>
                <w:sz w:val="20"/>
                <w:szCs w:val="20"/>
                <w:color w:val="auto"/>
              </w:rPr>
            </w:pPr>
            <w:r>
              <w:rPr>
                <w:rFonts w:ascii="Times New Roman" w:cs="Times New Roman" w:eastAsia="Times New Roman" w:hAnsi="Times New Roman"/>
                <w:sz w:val="7"/>
                <w:szCs w:val="7"/>
                <w:color w:val="008000"/>
              </w:rPr>
              <w:t>Represents restricted stock units ("RSUs") that were granted pursuant to the Issuer's Non-Employee Director Compensation Program. Each RSU represents a right to receive one share of Class A</w:t>
            </w:r>
          </w:p>
        </w:tc>
        <w:tc>
          <w:tcPr>
            <w:tcW w:w="0" w:type="dxa"/>
            <w:vAlign w:val="bottom"/>
          </w:tcPr>
          <w:p>
            <w:pPr>
              <w:spacing w:after="0"/>
              <w:rPr>
                <w:sz w:val="1"/>
                <w:szCs w:val="1"/>
                <w:color w:val="auto"/>
              </w:rPr>
            </w:pPr>
          </w:p>
        </w:tc>
      </w:tr>
      <w:tr>
        <w:trPr>
          <w:trHeight w:val="67"/>
        </w:trPr>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line="67" w:lineRule="exact"/>
              <w:rPr>
                <w:sz w:val="20"/>
                <w:szCs w:val="20"/>
                <w:color w:val="auto"/>
              </w:rPr>
            </w:pPr>
            <w:r>
              <w:rPr>
                <w:rFonts w:ascii="Arial" w:cs="Arial" w:eastAsia="Arial" w:hAnsi="Arial"/>
                <w:sz w:val="7"/>
                <w:szCs w:val="7"/>
                <w:b w:val="1"/>
                <w:bCs w:val="1"/>
                <w:color w:val="auto"/>
              </w:rPr>
              <w:t>Derivative</w:t>
            </w: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Acquired</w:t>
            </w:r>
          </w:p>
        </w:tc>
        <w:tc>
          <w:tcPr>
            <w:tcW w:w="1500" w:type="dxa"/>
            <w:vAlign w:val="bottom"/>
          </w:tcPr>
          <w:p>
            <w:pPr>
              <w:spacing w:after="0"/>
              <w:rPr>
                <w:sz w:val="5"/>
                <w:szCs w:val="5"/>
                <w:color w:val="auto"/>
              </w:rPr>
            </w:pPr>
          </w:p>
        </w:tc>
        <w:tc>
          <w:tcPr>
            <w:tcW w:w="1020" w:type="dxa"/>
            <w:vAlign w:val="bottom"/>
          </w:tcPr>
          <w:p>
            <w:pPr>
              <w:ind w:left="100"/>
              <w:spacing w:after="0" w:line="67" w:lineRule="exact"/>
              <w:rPr>
                <w:sz w:val="20"/>
                <w:szCs w:val="20"/>
                <w:color w:val="auto"/>
              </w:rPr>
            </w:pPr>
            <w:r>
              <w:rPr>
                <w:rFonts w:ascii="Arial" w:cs="Arial" w:eastAsia="Arial" w:hAnsi="Arial"/>
                <w:sz w:val="7"/>
                <w:szCs w:val="7"/>
                <w:b w:val="1"/>
                <w:bCs w:val="1"/>
                <w:color w:val="auto"/>
              </w:rPr>
              <w:t>Derivative</w:t>
            </w:r>
          </w:p>
        </w:tc>
        <w:tc>
          <w:tcPr>
            <w:tcW w:w="720" w:type="dxa"/>
            <w:vAlign w:val="bottom"/>
          </w:tcPr>
          <w:p>
            <w:pPr>
              <w:spacing w:after="0"/>
              <w:rPr>
                <w:sz w:val="5"/>
                <w:szCs w:val="5"/>
                <w:color w:val="auto"/>
              </w:rPr>
            </w:pPr>
          </w:p>
        </w:tc>
        <w:tc>
          <w:tcPr>
            <w:tcW w:w="96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Owned</w:t>
            </w:r>
          </w:p>
        </w:tc>
        <w:tc>
          <w:tcPr>
            <w:tcW w:w="76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or Indirect</w:t>
            </w:r>
          </w:p>
        </w:tc>
        <w:tc>
          <w:tcPr>
            <w:tcW w:w="78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(Instr. 4)</w:t>
            </w:r>
          </w:p>
        </w:tc>
        <w:tc>
          <w:tcPr>
            <w:tcW w:w="0" w:type="dxa"/>
            <w:vAlign w:val="bottom"/>
          </w:tcPr>
          <w:p>
            <w:pPr>
              <w:spacing w:after="0"/>
              <w:rPr>
                <w:sz w:val="1"/>
                <w:szCs w:val="1"/>
                <w:color w:val="auto"/>
              </w:rPr>
            </w:pPr>
          </w:p>
        </w:tc>
      </w:tr>
      <w:tr>
        <w:trPr>
          <w:trHeight w:val="80"/>
        </w:trPr>
        <w:tc>
          <w:tcPr>
            <w:tcW w:w="11080" w:type="dxa"/>
            <w:vAlign w:val="bottom"/>
            <w:gridSpan w:val="13"/>
          </w:tcPr>
          <w:p>
            <w:pPr>
              <w:ind w:left="40"/>
              <w:spacing w:after="0" w:line="80" w:lineRule="exact"/>
              <w:rPr>
                <w:sz w:val="20"/>
                <w:szCs w:val="20"/>
                <w:color w:val="auto"/>
              </w:rPr>
            </w:pPr>
            <w:r>
              <w:rPr>
                <w:rFonts w:ascii="Times New Roman" w:cs="Times New Roman" w:eastAsia="Times New Roman" w:hAnsi="Times New Roman"/>
                <w:sz w:val="9"/>
                <w:szCs w:val="9"/>
                <w:color w:val="008000"/>
              </w:rPr>
              <w:t>Common Stock. The RSUs will vest in full on the earlier of (i) June 9, 2027 or (ii) immediately before the Issuer's 2027 annual meeting of stockholders, subject to the Reporting Person's continued service</w:t>
            </w:r>
          </w:p>
        </w:tc>
        <w:tc>
          <w:tcPr>
            <w:tcW w:w="0" w:type="dxa"/>
            <w:vAlign w:val="bottom"/>
          </w:tcPr>
          <w:p>
            <w:pPr>
              <w:spacing w:after="0"/>
              <w:rPr>
                <w:sz w:val="1"/>
                <w:szCs w:val="1"/>
                <w:color w:val="auto"/>
              </w:rPr>
            </w:pPr>
          </w:p>
        </w:tc>
      </w:tr>
      <w:tr>
        <w:trPr>
          <w:trHeight w:val="53"/>
        </w:trPr>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line="54" w:lineRule="exact"/>
              <w:rPr>
                <w:sz w:val="20"/>
                <w:szCs w:val="20"/>
                <w:color w:val="auto"/>
              </w:rPr>
            </w:pPr>
            <w:r>
              <w:rPr>
                <w:rFonts w:ascii="Arial" w:cs="Arial" w:eastAsia="Arial" w:hAnsi="Arial"/>
                <w:sz w:val="6"/>
                <w:szCs w:val="6"/>
                <w:b w:val="1"/>
                <w:bCs w:val="1"/>
                <w:color w:val="auto"/>
              </w:rPr>
              <w:t>Security</w:t>
            </w: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(A) or</w:t>
            </w:r>
          </w:p>
        </w:tc>
        <w:tc>
          <w:tcPr>
            <w:tcW w:w="1500" w:type="dxa"/>
            <w:vAlign w:val="bottom"/>
          </w:tcPr>
          <w:p>
            <w:pPr>
              <w:spacing w:after="0"/>
              <w:rPr>
                <w:sz w:val="4"/>
                <w:szCs w:val="4"/>
                <w:color w:val="auto"/>
              </w:rPr>
            </w:pPr>
          </w:p>
        </w:tc>
        <w:tc>
          <w:tcPr>
            <w:tcW w:w="1020" w:type="dxa"/>
            <w:vAlign w:val="bottom"/>
          </w:tcPr>
          <w:p>
            <w:pPr>
              <w:ind w:left="100"/>
              <w:spacing w:after="0" w:line="54" w:lineRule="exact"/>
              <w:rPr>
                <w:sz w:val="20"/>
                <w:szCs w:val="20"/>
                <w:color w:val="auto"/>
              </w:rPr>
            </w:pPr>
            <w:r>
              <w:rPr>
                <w:rFonts w:ascii="Arial" w:cs="Arial" w:eastAsia="Arial" w:hAnsi="Arial"/>
                <w:sz w:val="6"/>
                <w:szCs w:val="6"/>
                <w:b w:val="1"/>
                <w:bCs w:val="1"/>
                <w:color w:val="auto"/>
              </w:rPr>
              <w:t>Security (Instr.</w:t>
            </w:r>
          </w:p>
        </w:tc>
        <w:tc>
          <w:tcPr>
            <w:tcW w:w="720" w:type="dxa"/>
            <w:vAlign w:val="bottom"/>
          </w:tcPr>
          <w:p>
            <w:pPr>
              <w:spacing w:after="0"/>
              <w:rPr>
                <w:sz w:val="4"/>
                <w:szCs w:val="4"/>
                <w:color w:val="auto"/>
              </w:rPr>
            </w:pPr>
          </w:p>
        </w:tc>
        <w:tc>
          <w:tcPr>
            <w:tcW w:w="9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Following</w:t>
            </w:r>
          </w:p>
        </w:tc>
        <w:tc>
          <w:tcPr>
            <w:tcW w:w="7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(I) (Instr. 4)</w:t>
            </w: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2660" w:type="dxa"/>
            <w:vAlign w:val="bottom"/>
            <w:gridSpan w:val="4"/>
          </w:tcPr>
          <w:p>
            <w:pPr>
              <w:ind w:left="40"/>
              <w:spacing w:after="0" w:line="146" w:lineRule="exact"/>
              <w:rPr>
                <w:sz w:val="20"/>
                <w:szCs w:val="20"/>
                <w:color w:val="auto"/>
              </w:rPr>
            </w:pPr>
            <w:r>
              <w:rPr>
                <w:rFonts w:ascii="Times New Roman" w:cs="Times New Roman" w:eastAsia="Times New Roman" w:hAnsi="Times New Roman"/>
                <w:sz w:val="13"/>
                <w:szCs w:val="13"/>
                <w:color w:val="008000"/>
              </w:rPr>
              <w:t>on the Board through such vesting date.</w:t>
            </w: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Disposed</w:t>
            </w:r>
          </w:p>
        </w:tc>
        <w:tc>
          <w:tcPr>
            <w:tcW w:w="1500" w:type="dxa"/>
            <w:vAlign w:val="bottom"/>
          </w:tcPr>
          <w:p>
            <w:pPr>
              <w:spacing w:after="0"/>
              <w:rPr>
                <w:sz w:val="12"/>
                <w:szCs w:val="12"/>
                <w:color w:val="auto"/>
              </w:rPr>
            </w:pP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60" w:type="dxa"/>
            <w:vAlign w:val="bottom"/>
          </w:tcPr>
          <w:p>
            <w:pPr>
              <w:ind w:left="40"/>
              <w:spacing w:after="0" w:line="147" w:lineRule="exact"/>
              <w:rPr>
                <w:sz w:val="20"/>
                <w:szCs w:val="20"/>
                <w:color w:val="auto"/>
              </w:rPr>
            </w:pPr>
            <w:r>
              <w:rPr>
                <w:rFonts w:ascii="Times New Roman" w:cs="Times New Roman" w:eastAsia="Times New Roman" w:hAnsi="Times New Roman"/>
                <w:sz w:val="13"/>
                <w:szCs w:val="13"/>
                <w:color w:val="008000"/>
              </w:rPr>
              <w:t>2.</w:t>
            </w:r>
          </w:p>
        </w:tc>
        <w:tc>
          <w:tcPr>
            <w:tcW w:w="138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3"/>
                <w:szCs w:val="13"/>
                <w:color w:val="008000"/>
              </w:rPr>
              <w:t>Includes 24,857 RSUs.</w:t>
            </w: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of (D)</w:t>
            </w:r>
          </w:p>
        </w:tc>
        <w:tc>
          <w:tcPr>
            <w:tcW w:w="1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8000"/>
              </w:rPr>
              <w:t>3.</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ind w:left="80"/>
              <w:spacing w:after="0" w:line="107" w:lineRule="exact"/>
              <w:rPr>
                <w:sz w:val="20"/>
                <w:szCs w:val="20"/>
                <w:color w:val="auto"/>
              </w:rPr>
            </w:pPr>
            <w:r>
              <w:rPr>
                <w:rFonts w:ascii="Arial" w:cs="Arial" w:eastAsia="Arial" w:hAnsi="Arial"/>
                <w:sz w:val="12"/>
                <w:szCs w:val="12"/>
                <w:b w:val="1"/>
                <w:bCs w:val="1"/>
                <w:color w:val="auto"/>
              </w:rPr>
              <w:t>(Instr. 3, 4</w:t>
            </w:r>
          </w:p>
        </w:tc>
        <w:tc>
          <w:tcPr>
            <w:tcW w:w="15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ind w:left="80"/>
              <w:spacing w:after="0" w:line="107"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60" w:type="dxa"/>
            <w:vAlign w:val="bottom"/>
            <w:vMerge w:val="continue"/>
          </w:tcPr>
          <w:p>
            <w:pPr>
              <w:spacing w:after="0"/>
              <w:rPr>
                <w:sz w:val="8"/>
                <w:szCs w:val="8"/>
                <w:color w:val="auto"/>
              </w:rPr>
            </w:pPr>
          </w:p>
        </w:tc>
        <w:tc>
          <w:tcPr>
            <w:tcW w:w="10920" w:type="dxa"/>
            <w:vAlign w:val="bottom"/>
            <w:gridSpan w:val="12"/>
          </w:tcPr>
          <w:p>
            <w:pPr>
              <w:ind w:left="20"/>
              <w:spacing w:after="0" w:line="93" w:lineRule="exact"/>
              <w:rPr>
                <w:sz w:val="20"/>
                <w:szCs w:val="20"/>
                <w:color w:val="auto"/>
              </w:rPr>
            </w:pPr>
            <w:r>
              <w:rPr>
                <w:rFonts w:ascii="Times New Roman" w:cs="Times New Roman" w:eastAsia="Times New Roman" w:hAnsi="Times New Roman"/>
                <w:sz w:val="10"/>
                <w:szCs w:val="10"/>
                <w:color w:val="008000"/>
              </w:rPr>
              <w:t>The Reporting Person is a director and stockholder of SC US (TTGP), Ltd. SC US (TTGP), Ltd. is (i) the general partner of SC U.S. Growth VIII Management, L.P. ("GFVIII Management"), which is</w:t>
            </w:r>
          </w:p>
        </w:tc>
        <w:tc>
          <w:tcPr>
            <w:tcW w:w="0" w:type="dxa"/>
            <w:vAlign w:val="bottom"/>
          </w:tcPr>
          <w:p>
            <w:pPr>
              <w:spacing w:after="0"/>
              <w:rPr>
                <w:sz w:val="1"/>
                <w:szCs w:val="1"/>
                <w:color w:val="auto"/>
              </w:rPr>
            </w:pPr>
          </w:p>
        </w:tc>
      </w:tr>
      <w:tr>
        <w:trPr>
          <w:trHeight w:val="28"/>
        </w:trPr>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ind w:left="80"/>
              <w:spacing w:after="0"/>
              <w:rPr>
                <w:sz w:val="20"/>
                <w:szCs w:val="20"/>
                <w:color w:val="auto"/>
              </w:rPr>
            </w:pPr>
            <w:r>
              <w:rPr>
                <w:rFonts w:ascii="Arial" w:cs="Arial" w:eastAsia="Arial" w:hAnsi="Arial"/>
                <w:sz w:val="2"/>
                <w:szCs w:val="2"/>
                <w:b w:val="1"/>
                <w:bCs w:val="1"/>
                <w:color w:val="auto"/>
              </w:rPr>
              <w:t>and 5)</w:t>
            </w:r>
          </w:p>
        </w:tc>
        <w:tc>
          <w:tcPr>
            <w:tcW w:w="1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40"/>
        <w:spacing w:after="0" w:line="235" w:lineRule="auto"/>
        <w:rPr>
          <w:sz w:val="20"/>
          <w:szCs w:val="20"/>
          <w:color w:val="auto"/>
        </w:rPr>
      </w:pPr>
      <w:r>
        <w:rPr>
          <w:rFonts w:ascii="Times New Roman" w:cs="Times New Roman" w:eastAsia="Times New Roman" w:hAnsi="Times New Roman"/>
          <w:sz w:val="13"/>
          <w:szCs w:val="13"/>
          <w:color w:val="008000"/>
        </w:rPr>
        <w:t>the general partner of Sequoia Capital U.S. Growth Fund VIII, L.P. ("GFVIII"), (ii) the general partner of SC U.S. Venture 2010 Management, L.P. ("USV2010 Management"), which is the general partner</w:t>
      </w:r>
    </w:p>
    <w:p>
      <w:pPr>
        <w:ind w:left="40" w:right="320"/>
        <w:spacing w:after="0" w:line="250" w:lineRule="auto"/>
        <w:rPr>
          <w:sz w:val="20"/>
          <w:szCs w:val="20"/>
          <w:color w:val="auto"/>
        </w:rPr>
      </w:pPr>
      <w:r>
        <w:rPr>
          <w:rFonts w:ascii="Times New Roman" w:cs="Times New Roman" w:eastAsia="Times New Roman" w:hAnsi="Times New Roman"/>
          <w:sz w:val="13"/>
          <w:szCs w:val="13"/>
          <w:color w:val="008000"/>
        </w:rPr>
        <w:t>of Sequoia Capital U.S. Venture 2010-Seed Fund, L.P. ("USV 2010-Seed"), and (iii) the general partner of SC U.S. Growth IX Management, L.P. ("GFIX Management"), which is the general partner of Sequoia Capital U.S. Growth Fund IX, L.P., Sequoia Capital U.S. Growth Partners Fund IX, L.P., and Sequoia Capital U.S. Growth IX Principals Fund, L.P. (collectively, the "GFIX Funds").</w:t>
      </w:r>
    </w:p>
    <w:p>
      <w:pPr>
        <w:ind w:left="40"/>
        <w:spacing w:after="0" w:line="222" w:lineRule="auto"/>
        <w:rPr>
          <w:sz w:val="20"/>
          <w:szCs w:val="20"/>
          <w:color w:val="auto"/>
        </w:rPr>
      </w:pPr>
      <w:r>
        <w:rPr>
          <w:rFonts w:ascii="Times New Roman" w:cs="Times New Roman" w:eastAsia="Times New Roman" w:hAnsi="Times New Roman"/>
          <w:sz w:val="13"/>
          <w:szCs w:val="13"/>
          <w:color w:val="008000"/>
        </w:rPr>
        <w:t>4. (Continued from Footnote 3) The Reporting Person disclaims beneficial ownership of the shares held by GFVIII, USV 2010-Seed, and the GFIX Funds except to the extent of his pecuniary interest</w:t>
      </w:r>
    </w:p>
    <w:p>
      <w:pPr>
        <w:ind w:left="7340"/>
        <w:spacing w:after="0" w:line="180" w:lineRule="auto"/>
        <w:rPr>
          <w:sz w:val="20"/>
          <w:szCs w:val="20"/>
          <w:color w:val="auto"/>
        </w:rPr>
      </w:pPr>
      <w:r>
        <w:rPr>
          <w:rFonts w:ascii="Arial" w:cs="Arial" w:eastAsia="Arial" w:hAnsi="Arial"/>
          <w:sz w:val="5"/>
          <w:szCs w:val="5"/>
          <w:b w:val="1"/>
          <w:bCs w:val="1"/>
          <w:color w:val="auto"/>
        </w:rPr>
        <w:t>Amount</w:t>
      </w:r>
    </w:p>
    <w:p>
      <w:pPr>
        <w:ind w:left="7340" w:right="660" w:hanging="7288"/>
        <w:spacing w:after="0"/>
        <w:rPr>
          <w:sz w:val="20"/>
          <w:szCs w:val="20"/>
          <w:color w:val="auto"/>
        </w:rPr>
      </w:pPr>
      <w:r>
        <w:rPr>
          <w:rFonts w:ascii="Times New Roman" w:cs="Times New Roman" w:eastAsia="Times New Roman" w:hAnsi="Times New Roman"/>
          <w:sz w:val="13"/>
          <w:szCs w:val="13"/>
          <w:color w:val="008000"/>
        </w:rPr>
        <w:t xml:space="preserve">therein, and the inclusion of these securities in this report shall not be deemed an admission of beneficial ownership of the reported securities for purposes of Section 16 or for any other purposes. </w:t>
      </w:r>
      <w:r>
        <w:rPr>
          <w:rFonts w:ascii="Arial" w:cs="Arial" w:eastAsia="Arial" w:hAnsi="Arial"/>
          <w:sz w:val="11"/>
          <w:szCs w:val="11"/>
          <w:b w:val="1"/>
          <w:bCs w:val="1"/>
          <w:color w:val="000000"/>
        </w:rPr>
        <w:t>or</w:t>
      </w:r>
    </w:p>
    <w:p>
      <w:pPr>
        <w:spacing w:after="0" w:line="4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4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80" w:type="dxa"/>
            <w:vAlign w:val="bottom"/>
            <w:gridSpan w:val="2"/>
          </w:tcPr>
          <w:p>
            <w:pPr>
              <w:ind w:left="280"/>
              <w:spacing w:after="0"/>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45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160" w:type="dxa"/>
            <w:vAlign w:val="bottom"/>
            <w:gridSpan w:val="3"/>
          </w:tcPr>
          <w:p>
            <w:pPr>
              <w:spacing w:after="0" w:line="54" w:lineRule="exact"/>
              <w:rPr>
                <w:sz w:val="20"/>
                <w:szCs w:val="20"/>
                <w:color w:val="auto"/>
              </w:rPr>
            </w:pPr>
            <w:r>
              <w:rPr>
                <w:rFonts w:ascii="Times New Roman" w:cs="Times New Roman" w:eastAsia="Times New Roman" w:hAnsi="Times New Roman"/>
                <w:sz w:val="6"/>
                <w:szCs w:val="6"/>
                <w:color w:val="0000FF"/>
              </w:rPr>
              <w:t>/s/ Jung Yeon Son, as attorney</w:t>
            </w:r>
          </w:p>
        </w:tc>
        <w:tc>
          <w:tcPr>
            <w:tcW w:w="2320" w:type="dxa"/>
            <w:vAlign w:val="bottom"/>
            <w:gridSpan w:val="3"/>
            <w:vMerge w:val="restart"/>
          </w:tcPr>
          <w:p>
            <w:pPr>
              <w:ind w:left="40"/>
              <w:spacing w:after="0" w:line="160" w:lineRule="exact"/>
              <w:rPr>
                <w:sz w:val="20"/>
                <w:szCs w:val="20"/>
                <w:color w:val="auto"/>
              </w:rPr>
            </w:pPr>
            <w:r>
              <w:rPr>
                <w:rFonts w:ascii="Times New Roman" w:cs="Times New Roman" w:eastAsia="Times New Roman" w:hAnsi="Times New Roman"/>
                <w:sz w:val="17"/>
                <w:szCs w:val="17"/>
                <w:color w:val="0000FF"/>
                <w:highlight w:val="white"/>
              </w:rPr>
              <w:t>06/11/2026</w:t>
            </w:r>
          </w:p>
        </w:tc>
        <w:tc>
          <w:tcPr>
            <w:tcW w:w="0" w:type="dxa"/>
            <w:vAlign w:val="bottom"/>
          </w:tcPr>
          <w:p>
            <w:pPr>
              <w:spacing w:after="0"/>
              <w:rPr>
                <w:sz w:val="1"/>
                <w:szCs w:val="1"/>
                <w:color w:val="auto"/>
              </w:rPr>
            </w:pPr>
          </w:p>
        </w:tc>
      </w:tr>
      <w:tr>
        <w:trPr>
          <w:trHeight w:val="113"/>
        </w:trPr>
        <w:tc>
          <w:tcPr>
            <w:tcW w:w="4500" w:type="dxa"/>
            <w:vAlign w:val="bottom"/>
          </w:tcPr>
          <w:p>
            <w:pPr>
              <w:spacing w:after="0"/>
              <w:rPr>
                <w:sz w:val="9"/>
                <w:szCs w:val="9"/>
                <w:color w:val="auto"/>
              </w:rPr>
            </w:pPr>
          </w:p>
        </w:tc>
        <w:tc>
          <w:tcPr>
            <w:tcW w:w="1620" w:type="dxa"/>
            <w:vAlign w:val="bottom"/>
          </w:tcPr>
          <w:p>
            <w:pPr>
              <w:ind w:left="880"/>
              <w:spacing w:after="0" w:line="107"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80"/>
              <w:spacing w:after="0" w:line="107" w:lineRule="exact"/>
              <w:rPr>
                <w:sz w:val="20"/>
                <w:szCs w:val="20"/>
                <w:color w:val="auto"/>
              </w:rPr>
            </w:pPr>
            <w:r>
              <w:rPr>
                <w:rFonts w:ascii="Arial" w:cs="Arial" w:eastAsia="Arial" w:hAnsi="Arial"/>
                <w:sz w:val="12"/>
                <w:szCs w:val="12"/>
                <w:b w:val="1"/>
                <w:bCs w:val="1"/>
                <w:color w:val="auto"/>
              </w:rPr>
              <w:t>Expiration</w:t>
            </w:r>
          </w:p>
        </w:tc>
        <w:tc>
          <w:tcPr>
            <w:tcW w:w="1680" w:type="dxa"/>
            <w:vAlign w:val="bottom"/>
            <w:gridSpan w:val="2"/>
          </w:tcPr>
          <w:p>
            <w:pPr>
              <w:ind w:left="280"/>
              <w:spacing w:after="0" w:line="107" w:lineRule="exact"/>
              <w:rPr>
                <w:sz w:val="20"/>
                <w:szCs w:val="20"/>
                <w:color w:val="auto"/>
              </w:rPr>
            </w:pPr>
            <w:r>
              <w:rPr>
                <w:rFonts w:ascii="Arial" w:cs="Arial" w:eastAsia="Arial" w:hAnsi="Arial"/>
                <w:sz w:val="12"/>
                <w:szCs w:val="12"/>
                <w:b w:val="1"/>
                <w:bCs w:val="1"/>
                <w:color w:val="auto"/>
              </w:rPr>
              <w:t>of</w:t>
            </w:r>
          </w:p>
        </w:tc>
        <w:tc>
          <w:tcPr>
            <w:tcW w:w="23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4500" w:type="dxa"/>
            <w:vAlign w:val="bottom"/>
          </w:tcPr>
          <w:p>
            <w:pPr>
              <w:ind w:left="3820"/>
              <w:spacing w:after="0" w:line="93" w:lineRule="exact"/>
              <w:rPr>
                <w:sz w:val="20"/>
                <w:szCs w:val="20"/>
                <w:color w:val="auto"/>
              </w:rPr>
            </w:pPr>
            <w:r>
              <w:rPr>
                <w:rFonts w:ascii="Arial" w:cs="Arial" w:eastAsia="Arial" w:hAnsi="Arial"/>
                <w:sz w:val="10"/>
                <w:szCs w:val="10"/>
                <w:b w:val="1"/>
                <w:bCs w:val="1"/>
                <w:color w:val="auto"/>
              </w:rPr>
              <w:t>Code  V</w:t>
            </w:r>
          </w:p>
        </w:tc>
        <w:tc>
          <w:tcPr>
            <w:tcW w:w="1620" w:type="dxa"/>
            <w:vAlign w:val="bottom"/>
          </w:tcPr>
          <w:p>
            <w:pPr>
              <w:ind w:left="160"/>
              <w:spacing w:after="0" w:line="93" w:lineRule="exact"/>
              <w:rPr>
                <w:sz w:val="20"/>
                <w:szCs w:val="20"/>
                <w:color w:val="auto"/>
              </w:rPr>
            </w:pPr>
            <w:r>
              <w:rPr>
                <w:rFonts w:ascii="Arial" w:cs="Arial" w:eastAsia="Arial" w:hAnsi="Arial"/>
                <w:sz w:val="10"/>
                <w:szCs w:val="10"/>
                <w:b w:val="1"/>
                <w:bCs w:val="1"/>
                <w:color w:val="auto"/>
              </w:rPr>
              <w:t>(A)   (D)   Exercisable</w:t>
            </w:r>
          </w:p>
        </w:tc>
        <w:tc>
          <w:tcPr>
            <w:tcW w:w="440" w:type="dxa"/>
            <w:vAlign w:val="bottom"/>
          </w:tcPr>
          <w:p>
            <w:pPr>
              <w:ind w:left="80"/>
              <w:spacing w:after="0" w:line="93" w:lineRule="exact"/>
              <w:rPr>
                <w:sz w:val="20"/>
                <w:szCs w:val="20"/>
                <w:color w:val="auto"/>
              </w:rPr>
            </w:pPr>
            <w:r>
              <w:rPr>
                <w:rFonts w:ascii="Arial" w:cs="Arial" w:eastAsia="Arial" w:hAnsi="Arial"/>
                <w:sz w:val="10"/>
                <w:szCs w:val="10"/>
                <w:b w:val="1"/>
                <w:bCs w:val="1"/>
                <w:color w:val="auto"/>
              </w:rPr>
              <w:t>Date</w:t>
            </w:r>
          </w:p>
        </w:tc>
        <w:tc>
          <w:tcPr>
            <w:tcW w:w="2160" w:type="dxa"/>
            <w:vAlign w:val="bottom"/>
            <w:gridSpan w:val="3"/>
          </w:tcPr>
          <w:p>
            <w:pPr>
              <w:spacing w:after="0" w:line="93" w:lineRule="exact"/>
              <w:rPr>
                <w:sz w:val="20"/>
                <w:szCs w:val="20"/>
                <w:color w:val="auto"/>
              </w:rPr>
            </w:pPr>
            <w:r>
              <w:rPr>
                <w:rFonts w:ascii="Times New Roman" w:cs="Times New Roman" w:eastAsia="Times New Roman" w:hAnsi="Times New Roman"/>
                <w:sz w:val="10"/>
                <w:szCs w:val="10"/>
                <w:color w:val="0000FF"/>
              </w:rPr>
              <w:t>in fact</w:t>
            </w:r>
            <w:r>
              <w:rPr>
                <w:rFonts w:ascii="Arial" w:cs="Arial" w:eastAsia="Arial" w:hAnsi="Arial"/>
                <w:sz w:val="7"/>
                <w:szCs w:val="7"/>
                <w:b w:val="1"/>
                <w:bCs w:val="1"/>
                <w:color w:val="000000"/>
              </w:rPr>
              <w:t>Title</w:t>
            </w:r>
            <w:r>
              <w:rPr>
                <w:rFonts w:ascii="Times New Roman" w:cs="Times New Roman" w:eastAsia="Times New Roman" w:hAnsi="Times New Roman"/>
                <w:sz w:val="10"/>
                <w:szCs w:val="10"/>
                <w:color w:val="0000FF"/>
              </w:rPr>
              <w:t>for Patrick</w:t>
            </w:r>
            <w:r>
              <w:rPr>
                <w:rFonts w:ascii="Arial" w:cs="Arial" w:eastAsia="Arial" w:hAnsi="Arial"/>
                <w:sz w:val="7"/>
                <w:szCs w:val="7"/>
                <w:b w:val="1"/>
                <w:bCs w:val="1"/>
                <w:color w:val="000000"/>
              </w:rPr>
              <w:t>Shaes</w:t>
            </w:r>
            <w:r>
              <w:rPr>
                <w:rFonts w:ascii="Times New Roman" w:cs="Times New Roman" w:eastAsia="Times New Roman" w:hAnsi="Times New Roman"/>
                <w:sz w:val="10"/>
                <w:szCs w:val="10"/>
                <w:color w:val="0000FF"/>
              </w:rPr>
              <w:t xml:space="preserve"> W. Grady</w:t>
            </w:r>
          </w:p>
        </w:tc>
        <w:tc>
          <w:tcPr>
            <w:tcW w:w="4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4500" w:type="dxa"/>
            <w:vAlign w:val="bottom"/>
            <w:tcBorders>
              <w:bottom w:val="single" w:sz="8" w:color="808080"/>
            </w:tcBorders>
          </w:tcPr>
          <w:p>
            <w:pPr>
              <w:spacing w:after="0"/>
              <w:rPr>
                <w:sz w:val="4"/>
                <w:szCs w:val="4"/>
                <w:color w:val="auto"/>
              </w:rPr>
            </w:pPr>
          </w:p>
        </w:tc>
        <w:tc>
          <w:tcPr>
            <w:tcW w:w="162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480" w:type="dxa"/>
            <w:vAlign w:val="bottom"/>
            <w:tcBorders>
              <w:top w:val="single" w:sz="8" w:color="auto"/>
              <w:bottom w:val="single" w:sz="8" w:color="808080"/>
            </w:tcBorders>
          </w:tcPr>
          <w:p>
            <w:pPr>
              <w:spacing w:after="0"/>
              <w:rPr>
                <w:sz w:val="4"/>
                <w:szCs w:val="4"/>
                <w:color w:val="auto"/>
              </w:rPr>
            </w:pPr>
          </w:p>
        </w:tc>
        <w:tc>
          <w:tcPr>
            <w:tcW w:w="1460" w:type="dxa"/>
            <w:vAlign w:val="bottom"/>
            <w:tcBorders>
              <w:top w:val="single" w:sz="8" w:color="auto"/>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14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45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232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7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700423" TargetMode="External"/><Relationship Id="rId14" Type="http://schemas.openxmlformats.org/officeDocument/2006/relationships/hyperlink" Target="http://www.sec.gov/cgi-bin/browse-edgar?action=getcompany&amp;CIK=00018666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2026-06-11T15:28:29Z</dcterms:created>
  <dcterms:modified xsi:type="dcterms:W3CDTF">2026-06-11T15:28:29Z</dcterms:modified>
</cp:coreProperties>
</file>