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Skates Spenser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AMPLITUDE, INC.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Amplitude, Inc.</w:t>
              </w:r>
            </w:hyperlink>
            <w:r>
              <w:rPr/>
              <w:t xml:space="preserve"> [ </w:t>
            </w:r>
            <w:r>
              <w:rPr>
                <w:rFonts w:ascii="Times;serif" w:hAnsi="Times;serif"/>
                <w:color w:val="0000FF"/>
                <w:sz w:val="24"/>
                <w:shd w:fill="FFFFFF" w:val="clear"/>
              </w:rPr>
              <w:t>AMPL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12.3006</w:t>
            </w:r>
            <w:r>
              <w:rPr>
                <w:rFonts w:ascii="Times;serif" w:hAnsi="Times;serif"/>
                <w:color w:val="008000"/>
                <w:position w:val="7"/>
                <w:sz w:val="16"/>
                <w:sz w:val="20"/>
                <w:shd w:fill="FFFFFF" w:val="clear"/>
              </w:rPr>
              <w:t>(3)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5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1101"/>
        <w:gridCol w:w="801"/>
        <w:gridCol w:w="96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382,157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5,342,146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5,342,146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Common Stock is convertible at any time at the option of the holder into the Issuer's Class A Common Stock on a one-to-one basis. The Class B Common Stock will convert automatically into shares of the Issuer's Class A Common Stock on a one-to-one basis upon the earlier of (a) any transfer of the Class B Common Stock by the holder, whether or not for value, subject to certain exceptions, (b) the death or incapacity of Mr. Skates, (c) the date that is six months following the date on which Mr. Skates is no longer an employee or director of the Issuer (unless Mr. Skates has rejoined the Issuer during such six-month period) or (d) the date that is six months following the date on which none of the Issuer's founders is an employee or director of the Issuer (unless a founder has rejoined the Issuer during such six-month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were effected pursuant to a 10b5-1 trading plan adopted by the Reporting Person's spouse on June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$12.0300 to $12.5100.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Fisher, as attorney in fact for Spenser Skates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2913" TargetMode="External"/><Relationship Id="rId5" Type="http://schemas.openxmlformats.org/officeDocument/2006/relationships/hyperlink" Target="http://www.sec.gov/cgi-bin/browse-edgar?action=getcompany&amp;CIK=00018666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4438</Characters>
  <CharactersWithSpaces>5194</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